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SächsStrVRG (Sachsen) — Zuständigkeit des Staatsministeriums für Wirtschaft, Arbeit und Verkehr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Wirtschaft, Arbeit und Verkehr ist zuständig für</w:t>
      </w:r>
    </w:p>
    <w:p>
      <w:r>
        <w:t xml:space="preserve">1. die Genehmigung der Satzung der Industrie- und Handelskammern für das Prüfungsverfahren nach § 8 Absatz 2 des Berufskraftfahrer-Qualifikations-Gesetzes ,</w:t>
      </w:r>
    </w:p>
    <w:p>
      <w:r>
        <w:t xml:space="preserve">2. den Erlass von Rechtsverordnungen nach § 8 Absatz 3 und 4 des Berufskraftfahrer-Qualifikations-Gesetzes .</w:t>
      </w:r>
    </w:p>
    <w:p>
      <w:r>
        <w:rPr>
          <w:color w:val="555555"/>
          <w:sz w:val="17"/>
        </w:rPr>
        <w:t xml:space="preserve">Zitiervorschlag: § 13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