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SächsStrVRG (Sachsen) — Zuständigkeit des Landesamtes für Straßenbau und Verkehr sowie des Staatsministeriums für Wirtschaft, Arbeit und Verkehr</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Landesamt für Straßenbau und Verkehr ist zuständig für die Ausführung des Fahrlehrergesetzes vom 30. Juni 2017 (BGBl. I S. 2162, 3784), in der jeweils geltenden Fassung, und der auf Grund dieses Gesetzes erlassenen Rechtsverordnungen. Darüber hinaus ist es zuständig für die Errichtung des Prüfungsausschusses für die Prüfung der fachlichen Eignung als Fahrlehrer, die Berufung seiner Mitglieder und die Bestimmung des Vorsitzenden nach den §§ 1 und 3 Absatz 1 Satz 1 der Fahrlehrer-Prüfungsverordnung vom 2. Januar 2018 (BGBl. I S. 2, 42), in der jeweils geltenden Fassung.</w:t>
      </w:r>
    </w:p>
    <w:p>
      <w:r>
        <w:t xml:space="preserve">(2) Das Staatsministerium für Wirtschaft, Arbeit und Verkehr ist zuständige oberste Landesbehörde im Sinne des Fahrlehrergesetzes .</w:t>
      </w:r>
    </w:p>
    <w:p>
      <w:r>
        <w:rPr>
          <w:color w:val="555555"/>
          <w:sz w:val="17"/>
        </w:rPr>
        <w:t xml:space="preserve">Zitiervorschlag: § 11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