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SächsStrG (Sachsen) — Widmung</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Widmung ist die Allgemeinverfügung, durch die Straßen, Wege und Plätze die Eigenschaft einer öffentlichen Straße erhalten sowie Benutzungsart und Benutzungszweck festgelegt werden. Widmungserweiterung ist die Allgemeinverfügung, durch die die Widmung einer Straße nachträglich um bestimmte Benutzungsarten oder Benutzungszwecke erweitert wird. Die Vorschriften über die Widmung gelten für die Widmungserweiterung entsprechend. Widmung und Widmungserweiterung sind mit Rechtsbehelfsbelehrung öffentlich bekanntzumachen und werden frühestens im Zeitpunkt der öffentlichen Bekanntmachung wirksam.</w:t>
      </w:r>
    </w:p>
    <w:p>
      <w:r>
        <w:t xml:space="preserve">(2) Die Widmung einer Straße für den öffentlichen Verkehr verfügt</w:t>
      </w:r>
    </w:p>
    <w:p>
      <w:r>
        <w:t xml:space="preserve">1. für die Staatsstraßen das Landesamt für Straßenbau und Verkehr,</w:t>
      </w:r>
    </w:p>
    <w:p>
      <w:r>
        <w:t xml:space="preserve">2. für die Kreisstraßen die obere Straßenaufsichtsbehörde,</w:t>
      </w:r>
    </w:p>
    <w:p>
      <w:r>
        <w:t xml:space="preserve">3. für die Gemeindeverbindungsstraßen die untere Straßenaufsichtsbehörde,</w:t>
      </w:r>
    </w:p>
    <w:p>
      <w:r>
        <w:t xml:space="preserve">4. für Ortsstraßen und sonstige öffentliche Straßen die Gemeinde.</w:t>
      </w:r>
    </w:p>
    <w:p>
      <w:r>
        <w:t xml:space="preserve">Ist die für die Widmung zuständige Behörde nicht Behörde des Trägers der Straßenbaulast, so ist zur Widmung dessen schriftliche Zustimmung erforderlich. Bei Widmungen, die gemäß Absatz 4 in einem Planfeststellungs- oder Flurbereinigungsverfahren verfügt werden, gilt die Zustimmung als erteilt, sofern der Träger der Straßenbaulast der Widmung nicht innerhalb der Anhörungsfrist gemäß § 39 Absatz 3 in Verbindung mit § 73 Absatz 3a des Verwaltungsverfahrensgesetzes oder als Beteiligter des Flurbereinigungsverfahrens spätestens in dem Anhörungstermin gemäß § 41 Absatz 2 des Flurbereinigungsgesetzes in der Fassung der Bekanntmachung vom 16. März 1976 (BGBl. I S. 546), das zuletzt durch Artikel 17 des Gesetzes vom 19. Dezember 2008 (BGBl. I S. 2794) geändert worden ist, in der jeweils geltenden Fassung, widersprochen hat. Beschränkungen der Widmung auf bestimmte Benutzungszwecke oder Benutzungsarten sind in der Verfügung festzulegen. Mit der Widmung ist festzustellen, welcher Straßenklasse nach § 3 Abs. 1 die Straße angehört (Einteilung).</w:t>
      </w:r>
    </w:p>
    <w:p>
      <w:r>
        <w:t xml:space="preserve">(3) Voraussetzung für die Widmung ist, dass der Träger der Straßenbaulast Eigentümer des der Straße dienenden Grundstücks ist oder der Eigentümer und ein sonst zur Nutzung dinglich Berechtigter der Widmung zugestimmt haben oder der Träger der Straßenbaulast den Besitz durch Vertrag, durch Einweisung oder in einem sonstigen gesetzlich geregelten Verfahren erlangt hat.</w:t>
      </w:r>
    </w:p>
    <w:p>
      <w:r>
        <w:t xml:space="preserve">(4) Bei Straßen, deren Bau in einem Planfeststellungs- oder Flurbereinigungsverfahren geregelt wird, kann die Widmung in diesem Verfahren mit der Maßgabe verfügt werden, dass sie mit der Verkehrsübergabe wirksam wird, wenn die Voraussetzungen des Absatzes 3 in diesem Zeitpunkt vorliegen. Der Träger der Straßenbaulast hat den Zeitpunkt der Verkehrsübergabe, die Straßenklasse sowie Beschränkungen der Widmung der das Straßen- oder Bestandsverzeichnis führenden Behörde unverzüglich anzuzeigen. Der Träger der Straßenbaulast hat die öffentliche Bekanntmachung zu veranlassen. Eine Bekanntmachung ist entbehrlich, wenn die zur Widmung vorgesehenen Straßen in den im Planfeststellungs- bzw. Flurbereinigungsverfahren ausgelegten Plänen als solche kenntlich gemacht worden sind.</w:t>
      </w:r>
    </w:p>
    <w:p>
      <w:r>
        <w:t xml:space="preserve">(5) Wird eine Straße verbreitert, begradigt, unerheblich verlegt oder ergänzt, so gilt der neue Straßenteil durch die Verkehrsübergabe als gewidmet, sofern die Voraussetzungen des Absatzes 3 vorliegen. Einer öffentlichen Bekanntmachung nach Absatz 1 bedarf es nicht.</w:t>
      </w:r>
    </w:p>
    <w:p>
      <w:r>
        <w:t xml:space="preserve">(6) Durch bürgerlich-rechtliche Verfügungen oder durch Verfügungen im Wege der Zwangsvollstreckung oder der Enteignung über die der Straße dienenden Grundstücke oder Rechte an ihnen wird die Widmung nicht berührt.</w:t>
      </w:r>
    </w:p>
    <w:p>
      <w:r>
        <w:rPr>
          <w:color w:val="555555"/>
          <w:sz w:val="17"/>
        </w:rPr>
        <w:t xml:space="preserve">Zitiervorschlag: § 6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