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SächsStrG (Sachsen) — Sondernutzung (Übergangsvorschrift zu §§ 18 ff.)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bei Inkrafttreten dieses Gesetzes bestehenden Rechte und Befugnisse zur Benutzung einer Straße über den Gemeingebrauch hinaus gelten als Sondernutzungen im Sinne dieses Gesetzes. Die Erlaubnis nach § 18 Absatz 1 gilt als erteilt, solange sie nicht widerrufen oder durch Fristablauf erloschen ist. Nach bisherigem Recht unwiderrufliche und zugleich unbefristete Nutzungsrechte können zur Beseitigung von Beeinträchtigungen des Gemeingebrauchs widerrufen werden; dies gilt auch für das befristete Nutzungsrecht. Wird in den Fällen des Satzes 3 die Sondernutzung widerrufen, so kann der Betroffene für die dadurch entstehenden Vermögensnachteile vom Träger der Straßenbaulast eine angemessene Entschädigung in Geld verlangen.</w:t>
      </w:r>
    </w:p>
    <w:p>
      <w:r>
        <w:t xml:space="preserve">(2) (aufgehoben)</w:t>
      </w:r>
    </w:p>
    <w:p>
      <w:r>
        <w:t xml:space="preserve">(3) Sondernutzungen im Sinne des § 13 der Straßenverordnung, die nach diesem Gesetz sonstige Benutzungen der Straßen im Sinne von § 23 sind, sollen nach Inkrafttreten dieses Gesetzes durch bürgerlich-rechtliche Verträge geregelt werden.</w:t>
      </w:r>
    </w:p>
    <w:p>
      <w:r>
        <w:rPr>
          <w:color w:val="555555"/>
          <w:sz w:val="17"/>
        </w:rPr>
        <w:t xml:space="preserve">Zitiervorschlag: § 58 SächsStrG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https://recht.nulegal.eu/gesetze/S%C3%A4chsStrG/58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