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SächsStrG (Sachsen) — Straßenbaulast Dritter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44 gilt nicht, soweit die Straßenbaulast aufgrund anderer gesetzlicher Vorschriften oder aufgrund öffentlich-rechtlicher Verpflichtungen anderen Trägern obliegt oder übertragen wird.</w:t>
      </w:r>
    </w:p>
    <w:p>
      <w:r>
        <w:t xml:space="preserve">(2) Bürgerlich-rechtliche Verpflichtungen Dritter zur Erfüllung der Aufgaben aus der Straßenbaulast lassen die Straßenbaulast als solche unberührt.</w:t>
      </w:r>
    </w:p>
    <w:p>
      <w:r>
        <w:rPr>
          <w:color w:val="555555"/>
          <w:sz w:val="17"/>
        </w:rPr>
        <w:t xml:space="preserve">Zitiervorschlag: § 45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