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42a SächsStrG (Sachsen) — Vertreter des Eigentümers</w:t>
      </w:r>
    </w:p>
    <w:p>
      <w:r>
        <w:rPr>
          <w:color w:val="555555"/>
          <w:sz w:val="18"/>
        </w:rPr>
        <w:t xml:space="preserve">Sächsisches Straßengesetz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Sind die Eigentumsverhältnisse an einem Grundstück ungeklärt, so hat die Rechtsaufsichtsbehörde der Gemeinde, in der das Grundstück liegt, in den Fällen, in denen ein Plangenehmigungsverfahren durchgeführt werden soll, auf Antrag der Planfeststellungsbehörde, in den Fällen, in denen eine vorzeitige Besitzeinweisung angeordnet werden soll, auf Antrag der Enteignungsbehörde und in den Fällen, in denen Vorarbeiten durchgeführt werden sollen, auf Antrag des Straßenbaulastträgers innerhalb von zwei Wochen nach Antragstellung einen Vertreter des Eigentümers zu bestellen. § 16 Absatz 3 und 4 des Verwaltungsverfahrensgesetzes findet entsprechende Anwendung.</w:t>
      </w:r>
    </w:p>
    <w:p>
      <w:r>
        <w:rPr>
          <w:color w:val="555555"/>
          <w:sz w:val="17"/>
        </w:rPr>
        <w:t xml:space="preserve">Zitiervorschlag: § 42a SächsStrG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https://recht.nulegal.eu/gesetze/S%C3%A4chsStrG/42a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