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SächsStrG (Sachsen) — Ermächtigung zu Rechtsverordnungen</w:t>
      </w:r>
    </w:p>
    <w:p>
      <w:r>
        <w:rPr>
          <w:color w:val="555555"/>
          <w:sz w:val="18"/>
        </w:rPr>
        <w:t xml:space="preserve">Sächsisches Straßengesetz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oberste Straßenbaubehörde kann Rechtsverordnungen erlassen, durch die näher bestimmt wird</w:t>
      </w:r>
    </w:p>
    <w:p>
      <w:r>
        <w:t xml:space="preserve">1. der Umfang der Kosten nach §§ 30 und 32;</w:t>
      </w:r>
    </w:p>
    <w:p>
      <w:r>
        <w:t xml:space="preserve">2. welche Straßenanlagen zur Kreuzungsanlage und welche Teile einer Kreuzung nach § 31 Abs. 1 und 2 zu der einen oder der anderen Straße gehören;</w:t>
      </w:r>
    </w:p>
    <w:p>
      <w:r>
        <w:t xml:space="preserve">3. welche Anlagen einer Straße oder eines Gewässers zur Kreuzungsanlage nach § 33 gehören;</w:t>
      </w:r>
    </w:p>
    <w:p>
      <w:r>
        <w:t xml:space="preserve">4. die Berechnung und die Zahlung von Ablösebeträgen nach § 31 Abs. 2 und nach § 33 Abs. 1 und 2.</w:t>
      </w:r>
    </w:p>
    <w:p>
      <w:r>
        <w:rPr>
          <w:color w:val="555555"/>
          <w:sz w:val="17"/>
        </w:rPr>
        <w:t xml:space="preserve">Zitiervorschlag: § 34 SächsStrG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https://recht.nulegal.eu/gesetze/S%C3%A4chsStrG/34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