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SächsStrG (Sachsen) — Unterhaltung der Kreuzungen mit Gewässern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Träger der Straßenbaulast hat die Kreuzungsanlage von Straßen und Gewässern auf seine Kosten zu unterhalten, soweit nichts anderes vereinbart oder durch Planfeststellung bestimmt wird. Die Unterhaltungspflicht des Trägers der Straßenbaulast erstreckt sich nicht auf Leitwerke, Leitpfähle, Dalben, Absetzpfähle oder ähnliche Einrichtungen zur Sicherung der Durchfahrt unter Brücken im Zuge von Straßen für die Schifffahrt sowie auf Schifffahrtszeichen. Soweit diese Einrichtungen auf Kosten des Trägers der Straßenbaulast herzustellen waren, hat dieser dem Unterhaltungspflichtigen die Unterhaltungskosten und die Kosten des Betriebes dieser Einrichtungen zu ersetzen oder abzulösen.</w:t>
      </w:r>
    </w:p>
    <w:p>
      <w:r>
        <w:t xml:space="preserve">(2) Wird im Falle des § 32 Abs. 2 eine neue Kreuzung hergestellt, hat der Träger des Ausbauvorhabens die Mehrkosten für die Unterhaltung und den Betrieb der Kreuzungsanlage zu erstatten oder abzulösen. Ersparte Unterhaltungskosten für den Fortfall vorhandener Kreuzungsanlagen sind anzurechnen.</w:t>
      </w:r>
    </w:p>
    <w:p>
      <w:r>
        <w:t xml:space="preserve">(3) Die Absätze 1 und 2 gelten nicht, wenn bei dem Inkrafttreten dieses Gesetzes die Tragung der Kosten aufgrund eines bestehenden Rechts anders geregelt ist.</w:t>
      </w:r>
    </w:p>
    <w:p>
      <w:r>
        <w:rPr>
          <w:color w:val="555555"/>
          <w:sz w:val="17"/>
        </w:rPr>
        <w:t xml:space="preserve">Zitiervorschlag: § 33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