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SächsStrG (Sachsen) — Einteilung der öffentlichen Straßen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öffentlichen Straßen werden nach ihrer Verkehrsbedeutung in folgende Straßenklassen eingeteilt:</w:t>
      </w:r>
    </w:p>
    <w:p>
      <w:r>
        <w:t xml:space="preserve">1. Staatsstraßen; das sind Straßen, die innerhalb des Freistaates Sachsen untereinander oder zusammen mit Bundesfernstraßen ein Verkehrsnetz bilden und dem Durchgangsverkehr dienen oder zu dienen bestimmt sind;</w:t>
      </w:r>
    </w:p>
    <w:p>
      <w:r>
        <w:t xml:space="preserve">2. Kreisstraßen; das sind Straßen, die dem Verkehr zwischen benachbarten Landkreisen und Kreisfreien Städten, dem überörtlichen Verkehr innerhalb eines Landkreises oder einer Kreisfreien Stadt oder dem unentbehrlichen Anschluss von Gemeinden oder räumlich getrennten Ortsteilen mit nicht nur untergeordneter Bedeutung an überörtliche Verkehrswege dienen oder zu dienen bestimmt sind; sie sollen mindestens an einem Ende an eine Bundesfernstraße, Staatsstraße oder andere Kreisstraße anschließen;</w:t>
      </w:r>
    </w:p>
    <w:p>
      <w:r>
        <w:t xml:space="preserve">3. Gemeindestraßen:</w:t>
      </w:r>
    </w:p>
    <w:p>
      <w:r>
        <w:t xml:space="preserve">a)</w:t>
      </w:r>
    </w:p>
    <w:p>
      <w:r>
        <w:t xml:space="preserve">Gemeindeverbindungsstraßen; das sind Straßen außerhalb der geschlossenen Ortslage, die dem nachbarlichen Verkehr zwischen Gemeinden oder Gemeindeteilen bzw. deren Anschluss an das weiterführende Straßennetz dienen oder zu dienen bestimmt sind</w:t>
      </w:r>
    </w:p>
    <w:p>
      <w:r>
        <w:t xml:space="preserve">oder</w:t>
      </w:r>
    </w:p>
    <w:p>
      <w:r>
        <w:t xml:space="preserve">b)</w:t>
      </w:r>
    </w:p>
    <w:p>
      <w:r>
        <w:t xml:space="preserve">Ortsstraßen; das sind Straßen, die dem Verkehr innerhalb der geschlossenen Ortslage einer Gemeinde dienen oder zu dienen bestimmt sind;</w:t>
      </w:r>
    </w:p>
    <w:p>
      <w:r>
        <w:t xml:space="preserve">4. sonstige öffentliche Straßen:</w:t>
      </w:r>
    </w:p>
    <w:p>
      <w:r>
        <w:t xml:space="preserve">a)</w:t>
      </w:r>
    </w:p>
    <w:p>
      <w:r>
        <w:t xml:space="preserve">die öffentlichen Feld- und Waldwege; das sind Straßen, die überwiegend der Bewirtschaftung von Feld- und Waldgrundstücken dienen;</w:t>
      </w:r>
    </w:p>
    <w:p>
      <w:r>
        <w:t xml:space="preserve">b)</w:t>
      </w:r>
    </w:p>
    <w:p>
      <w:r>
        <w:t xml:space="preserve">die beschränkt-öffentlichen Wege und Plätze; das sind Straßen, die einem beschränkten öffentlichen Verkehr dienen und eine besondere Zweckbestimmung haben können. Hierzu zählen die Fußgängerbereiche sowie die Friedhofs-, Kirchen- und Schulwege, die Wanderwege, die Parkplätze, die Geh- und Radwege, soweit diese nicht Bestandteil anderer Straßen sind (selbständige Parkplätze, Geh- und Radwege);</w:t>
      </w:r>
    </w:p>
    <w:p>
      <w:r>
        <w:t xml:space="preserve">c)</w:t>
      </w:r>
    </w:p>
    <w:p>
      <w:r>
        <w:t xml:space="preserve">die Eigentümerwege; das sind Straßen, die von den Grundstückseigentümern in unwiderruflicher Weise einem beschränkten oder unbeschränkten öffentlichen Verkehr zur Verfügung gestellt werden und keiner anderen Straßenklasse angehören.</w:t>
      </w:r>
    </w:p>
    <w:p>
      <w:r>
        <w:t xml:space="preserve">(2) Die Zweckbestimmung steht im Ermessen des Trägers der Straßenbaulast.</w:t>
      </w:r>
    </w:p>
    <w:p>
      <w:r>
        <w:t xml:space="preserve">(3) Radschnellverbindungen des Freistaates Sachsen sind Wege, Straßen oder Teile von diesen, die dem Fahrradverkehr mit eigenständiger regionaler oder überregionaler Verkehrsbedeutung zu dienen bestimmt sind. Sie sollen untereinander oder mit anderen Radverkehrsverbindungen ein zusammenhängendes Netz bilden. Die Bestimmung von Wegen, Straßen oder Teilen von diesen zur Radschnellverbindung nimmt das Staatsministerium für Wirtschaft, Arbeit und Verkehr im Einvernehmen mit den jeweils als Träger der Straßenbaulast betroffenen Kreisen, Kreisfreien Städten und Gemeinden vor. § 5 Absatz 1 bis 3 und 5, § 44 Absatz 2 bis 5, § 47 Absatz 2 Nummer 1 sowie § 48 Absatz 1 Satz 1 gelten entsprechend.</w:t>
      </w:r>
    </w:p>
    <w:p>
      <w:r>
        <w:rPr>
          <w:color w:val="555555"/>
          <w:sz w:val="17"/>
        </w:rPr>
        <w:t xml:space="preserve">Zitiervorschlag: § 3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