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SächsStrG (Sachsen) — Bepflanzung des Straßenkörpers</w:t>
      </w:r>
    </w:p>
    <w:p>
      <w:r>
        <w:rPr>
          <w:color w:val="555555"/>
          <w:sz w:val="18"/>
        </w:rPr>
        <w:t xml:space="preserve">Sächsisches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(1) Für die Bepflanzung des Straßenkörpers sowie ihre Pflege und Unterhaltung ist der Träger der Straßenbaulast zuständig. Dem Natur- und Landschaftsschutz ist Rechnung zu tragen. Die Bepflanzung ist im Benehmen mit der zuständigen Naturschutzbehörde vorzunehmen. Die Straßenanlieger haben die erforderlichen Maßnahmen zu dulden.</w:t>
      </w:r>
    </w:p>
    <w:p>
      <w:r>
        <w:t xml:space="preserve">(2) In Ortsdurchfahrten im Zuge von Staatsstraßen und Kreisstraßen steht die Befugnis nach Absatz 1 daneben der Gemeinde auch dann zu, wenn sie nicht Träger der Straßenbaulast ist. In diesem Fall ist die Bepflanzung im Einvernehmen zwischen der Gemeinde und dem Träger der Straßenbaulast vorzunehmen.</w:t>
      </w:r>
    </w:p>
    <w:p>
      <w:r>
        <w:rPr>
          <w:color w:val="555555"/>
          <w:sz w:val="17"/>
        </w:rPr>
        <w:t xml:space="preserve">Zitiervorschlag: § 28 SächsStrG (Sachsen)</w:t>
      </w:r>
    </w:p>
    <w:p>
      <w:r>
        <w:rPr>
          <w:color w:val="555555"/>
          <w:sz w:val="17"/>
        </w:rPr>
        <w:t xml:space="preserve">Quelle: revosax, abgerufen 02.09.2026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https://recht.nulegal.eu/gesetze/S%C3%A4chsStrG/28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