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SächsStrG (Sachsen) — Schutzmaßnahmen</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Eigentümer und Besitzer der der Straße benachbarten Grundstücke haben die zum Schutz der Straße vor nachteiligen Einwirkungen der Natur wie Schneeverwehungen, Steinschlag, Vermurrungen, Überschwemmungen notwendigen Vorkehrungen zu dulden. Die Straßenbaubehörde hat dem Betroffenen die Durchführung der Maßnahmen mindestens zwei Wochen vorher schriftlich anzuzeigen, es sei denn, dass Gefahr im Verzuge ist. Der Betroffene ist berechtigt, die Maßnahmen im Einvernehmen mit der Straßenbaubehörde selbst durchzuführen. Der Träger der Straßenbaulast hat dem Betroffenen Aufwendungen und Schäden in Geld zu ersetzen, soweit diese nicht Folge von Veränderungen auf benachbarten Grundstücken sind, die der Betroffene zu vertreten hat.</w:t>
      </w:r>
    </w:p>
    <w:p>
      <w:r>
        <w:t xml:space="preserve">(2) Anpflanzungen und Zäune sowie Stapel, Haufen oder andere mit dem Grundstück nicht fest verbundene Einrichtungen dürfen nicht angelegt oder unterhalten werden, wenn sie die Sicherheit oder Leichtigkeit des Verkehrs beeinträchtigen. Werden sie entgegen Satz 1 angelegt oder unterhalten, so sind sie auf schriftliches Verlangen der Straßenbaubehörde von dem nach Absatz 1 Verpflichteten binnen angemessener Frist zu beseitigen. Nach Ablauf der Frist kann die Straßenbaubehörde die Anpflanzung oder Einrichtung auf Kosten des Betroffenen beseitigen oder beseitigen lassen. Bei Gefahr im Verzug kann die Straßenbaubehörde ohne Weiteres die Anpflanzung oder Einrichtung auf Kosten des Betroffenen beseitigen oder beseitigen lassen. Soweit Staatsstraßen betroffen sind, steht die Befugnis nach Satz 4 im Rahmen von § 48 Absatz 1 Satz 1 auch den Landkreisen und Kreisfreien Städten zu.</w:t>
      </w:r>
    </w:p>
    <w:p>
      <w:r>
        <w:t xml:space="preserve">(3) Im Falle des Absatzes 2 hat der Betroffene die Kosten zu tragen, die durch die Beseitigung der Einrichtung oder Anpflanzung entstehen. Das gilt nicht, wenn die Einrichtung oder Anpflanzung schon bei Inkrafttreten dieses Gesetzes vorhanden war oder wenn die Voraussetzungen für ihre Beseitigung deswegen eintreten, weil die Straße neu angelegt oder ausgebaut worden ist; in diesen Fällen hat der Träger der Straßenbaulast dem Betroffenen Aufwendungen und Schäden in Geld zu ersetzen.</w:t>
      </w:r>
    </w:p>
    <w:p>
      <w:r>
        <w:rPr>
          <w:color w:val="555555"/>
          <w:sz w:val="17"/>
        </w:rPr>
        <w:t xml:space="preserve">Zitiervorschlag: § 27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