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SächsStrG (Sachsen) — Schutzwaldungen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Waldungen und Gehölze längs der Straßen können auf Antrag der Straßenbaubehörde zu Schutzwaldungen erklärt werden, soweit dies zum Schutz der Straße gegen nachteilige Einwirkungen der Natur oder im Interesse der Sicherheit des Verkehrs notwendig ist.</w:t>
      </w:r>
    </w:p>
    <w:p>
      <w:r>
        <w:t xml:space="preserve">(2) Die Schutzwaldungen sind vom Nutzungsberechtigten zu erhalten und den Schutzzwecken entsprechend zu bewirtschaften. Die Überwachung obliegt der Forstbehörde im Benehmen mit der Straßenbaubehörde. Der Nutzungsberechtigte kann vom Träger der Straßenbaulast insoweit eine angemessene Entschädigung in Geld verlangen, als ihm durch die Verpflichtung nach Satz 1 Vermögensnachteile entstehen.</w:t>
      </w:r>
    </w:p>
    <w:p>
      <w:r>
        <w:rPr>
          <w:color w:val="555555"/>
          <w:sz w:val="17"/>
        </w:rPr>
        <w:t xml:space="preserve">Zitiervorschlag: § 26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