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SächsStrG (Sachsen) — Bauliche Anlagen an Straßen</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Außerhalb der zur Erschließung der anliegenden Grundstücke bestimmten Teile der Ortsdurchfahrten dürfen längs der Staatsstraßen oder Kreisstraßen</w:t>
      </w:r>
    </w:p>
    <w:p>
      <w:r>
        <w:t xml:space="preserve">1. Hochbauten jeder Art in einer Entfernung bis zu 20 m, gemessen vom äußeren Rand der befestigten Fahrbahn,</w:t>
      </w:r>
    </w:p>
    <w:p>
      <w:r>
        <w:t xml:space="preserve">2. bauliche Anlagen, die über Zufahrten an Staatsstraßen oder Kreisstraßen unmittelbar oder mittelbar angeschlossen werden sollen,</w:t>
      </w:r>
    </w:p>
    <w:p>
      <w:r>
        <w:t xml:space="preserve">nicht errichtet werden. Satz 1 Nr. 1 gilt entsprechend für Aufschüttungen oder Abgrabungen größeren Umfangs. Satz 1 gilt nicht für technische Einrichtungen, die für das Erbringen von öffentlich zugänglichen Telekommunikationsdiensten erforderlich sind. Weitergehende bundes- oder landesrechtliche Vorschriften bleiben unberührt.</w:t>
      </w:r>
    </w:p>
    <w:p>
      <w:r>
        <w:t xml:space="preserve">(2) Im Übrigen bedürfen Baugenehmigungen oder nach anderen Vorschriften notwendige Genehmigungen der Zustimmung der Straßenbaubehörde, wenn</w:t>
      </w:r>
    </w:p>
    <w:p>
      <w:r>
        <w:t xml:space="preserve">1. bauliche Anlagen längs der Staatsstraßen oder Kreisstraßen außerhalb der zur Erschließung der anliegenden Grundstücke bestimmten Teile der Ortsdurchfahrten in einer Entfernung bis zu 40 m, gemessen vom äußeren Rand der befestigten Fahrbahn, errichtet, erheblich geändert oder anders genutzt werden sollen,</w:t>
      </w:r>
    </w:p>
    <w:p>
      <w:r>
        <w:t xml:space="preserve">2. bauliche Anlagen auf Grundstücken, die außerhalb der zur Erschließung der anliegenden Grundstücke bestimmten Teile der Ortsdurchfahrten von Staatsstraßen oder Kreisstraßen über Zufahrten unmittelbar oder mittelbar angeschlossen sind, erheblich geändert oder anders genutzt werden sollen.</w:t>
      </w:r>
    </w:p>
    <w:p>
      <w:r>
        <w:t xml:space="preserve">Die Zustimmungspflicht nach Satz 1 gilt entsprechend für bauliche Anlagen, die nach der Bauordnung zustimmungsbedürftig sind. Weitergehende bundes- oder landesrechtliche Vorschriften bleiben unberührt.</w:t>
      </w:r>
    </w:p>
    <w:p>
      <w:r>
        <w:t xml:space="preserve">(3) Die Zustimmung nach Absatz 2 darf nur versagt oder mit Bedingungen oder Auflagen erteilt werden, soweit dies wegen der Sicherheit oder Leichtigkeit des Verkehrs, der Ausbauabsichten oder der Straßenbaugestaltung nötig ist.</w:t>
      </w:r>
    </w:p>
    <w:p>
      <w:r>
        <w:t xml:space="preserve">(4) Die Belange nach Absatz 3 sind auch bei der Erteilung von Baugenehmigungen innerhalb der zur Erschließung der anliegenden Grundstücke bestimmten Teile der Ortsdurchfahrten von Staatsstraßen und Kreisstraßen von der zuständigen Behörde zu berücksichtigen.</w:t>
      </w:r>
    </w:p>
    <w:p>
      <w:r>
        <w:t xml:space="preserve">(5) Bei geplanten Straßen gelten die Beschränkungen der Absätze 1 und 2 vom Beginn der Auslegung der Pläne im Planfeststellungsverfahren oder von dem Zeitpunkt an, zu dem den Betroffenen Gelegenheit gegeben wird, den Plan einzusehen (§ 73 Abs. 3 Satz 2 des Verwaltungsverfahrensgesetzes ). Die Baugenehmigungsbehörden sollen von einer ihnen gesetzlich zustehenden Möglichkeit, eine Baugenehmigung schon zu einem früheren Zeitpunkt zu verweigern, Gebrauch machen.</w:t>
      </w:r>
    </w:p>
    <w:p>
      <w:r>
        <w:t xml:space="preserve">(6) Bedürfen die baulichen Anlagen im Sinne des Absatzes 2 keiner Baugenehmigung, baurechtlichen Zustimmung oder Genehmigung nach anderen Vorschriften, so tritt an die Stelle der Zustimmung nach Absatz 2 die Genehmigung der Straßenbaubehörde.</w:t>
      </w:r>
    </w:p>
    <w:p>
      <w:r>
        <w:t xml:space="preserve">(7) Anlagen der Außenwerbung stehen außerhalb der zur Erschließung der anliegenden Grundstücke bestimmten Teile der Ortsdurchfahrten den Hochbauten des Absatzes 1 und den baulichen Anlagen des Absatzes 2 gleich. An Brücken über Staatsstraßen oder Kreisstraßen außerhalb dieser Teile der Ortsdurchfahrten dürfen Anlagen der Außenwerbung nicht angebracht werden. Weitergehende bundes- oder landesrechtliche Vorschriften bleiben unberührt.</w:t>
      </w:r>
    </w:p>
    <w:p>
      <w:r>
        <w:t xml:space="preserve">(8) Die Absätze 1 bis 6 gelten nicht, wenn das Bauvorhaben den Festsetzungen eines Bebauungsplanes im Sinne des Baugesetzbuches in der Fassung der Bekanntmachung vom 3. November 2017 (BGBl. I S. 3634), in der jeweils geltenden Fassung, entspricht, der mindestens die Begrenzung der Verkehrsflächen sowie die an diesen gelegenen überbaubaren Grundstücksflächen enthält und unter Mitwirkung der Straßenbaubehörde zustande gekommen ist.</w:t>
      </w:r>
    </w:p>
    <w:p>
      <w:r>
        <w:t xml:space="preserve">(9) Von den Verboten der Absätze 1, 5 und 7 können im Einzelfall Ausnahmen zugelassen werden, wenn ihre Durchführung zu einer offenbar nicht beabsichtigten Härte führen würde und die Abweichung mit den öffentlichen Belangen vereinbar ist oder wenn Gründe des Wohls der Allgemeinheit die Abweichung erfordern. Ausnahmen können mit Bedingungen und Auflagen versehen werden. Die Entscheidung wird im Baugenehmigungsverfahren durch die untere Bauaufsichtsbehörde im Einvernehmen mit der Straßenbaubehörde oder, wenn kein Baugenehmigungsverfahren durchgeführt wird, in einem eigenen Verfahren durch die Straßenbaubehörde getroffen.</w:t>
      </w:r>
    </w:p>
    <w:p>
      <w:r>
        <w:t xml:space="preserve">(10) Wird infolge der Anwendung der Absätze 1, 2, 5 und 6 die bauliche Nutzung eines Grundstücks, auf deren Zulassung bisher ein Rechtsanspruch bestand, ganz oder teilweise aufgehoben, so kann der Eigentümer insoweit eine angemessene Entschädigung in Geld verlangen, als seine Vorbereitungen zur baulichen Nutzung des Grundstücks in dem bisher zulässigen Umfang für ihn an Wert verlieren oder eine wesentliche Wertminderung des Grundstücks eintritt. Zur Entschädigung ist der Träger der Straßenbaulast verpflichtet.</w:t>
      </w:r>
    </w:p>
    <w:p>
      <w:r>
        <w:t xml:space="preserve">(11) Im Falle des Absatzes 5 entsteht der Anspruch nach Absatz 10 erst, wenn der Plan unanfechtbar geworden oder mit der Ausführung begonnen worden ist, spätestens jedoch nach Ablauf von vier Jahren, nachdem die Beschränkungen der Absätze 1 und 2 in Kraft getreten sind.</w:t>
      </w:r>
    </w:p>
    <w:p>
      <w:r>
        <w:t xml:space="preserve">(12) Die Gemeinden können durch Satzung vorschreiben, dass für bestimmte Gemeindeverbindungsstraßen die Absätze 1 bis 3, 5 bis 7 und 9 bis 11 insgesamt entsprechend anzuwenden sind, wobei die in den Absätzen 1 und 2 genannten Abstände geringer festgesetzt werden können.</w:t>
      </w:r>
    </w:p>
    <w:p>
      <w:r>
        <w:rPr>
          <w:color w:val="555555"/>
          <w:sz w:val="17"/>
        </w:rPr>
        <w:t xml:space="preserve">Zitiervorschlag: § 24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