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SächsStrG (Sachsen) — Gebühren für Sondernutzungen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Sondernutzungen können Sondernutzungsgebühren erhoben werden. Sie stehen in Ortsdurchfahrten den Gemeinden, im Übrigen dem Träger der Straßenbaulast zu. Bei der Bemessung der Gebühren sind Art und Ausmaß der Einwirkung auf die Straße und den Gemeingebrauch sowie das wirtschaftliche Interesse des Gebührenschuldners zu berücksichtigen.</w:t>
      </w:r>
    </w:p>
    <w:p>
      <w:r>
        <w:t xml:space="preserve">(2) Das Staatsministerium für Wirtschaft, Arbeit und Verkehr wird ermächtigt, im Einvernehmen mit dem Staatsministerium der Finanzen durch Gebührenordnung die Erhebung von Sondernutzungsgebühren, soweit sie dem Freistaat Sachsen als Träger der Straßenbaulast zustehen, zu regeln. Die Landkreise und Gemeinden können die Gebühren durch Satzung regeln, soweit ihnen die Sondernutzungsgebühren zustehen.</w:t>
      </w:r>
    </w:p>
    <w:p>
      <w:r>
        <w:rPr>
          <w:color w:val="555555"/>
          <w:sz w:val="17"/>
        </w:rPr>
        <w:t xml:space="preserve">Zitiervorschlag: § 21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