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SächsStrG (Sachsen) — Verunreinigung und Beschädigung</w:t>
      </w:r>
    </w:p>
    <w:p>
      <w:r>
        <w:rPr>
          <w:color w:val="555555"/>
          <w:sz w:val="18"/>
        </w:rPr>
        <w:t xml:space="preserve">Sächsisches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Wer eine Straße über das übliche Maß hinaus verunreinigt, hat die Verunreinigung ohne Aufforderung unverzüglich zu beseitigen; andernfalls kann der Träger der Straßenbaulast – in Ortsdurchfahrten die Gemeinde – die Verunreinigung auf Kosten des Verursachers beseitigen oder beseitigen lassen. Der Vorrang der gemeindlichen Pflicht zur polizeimäßigen Reinigung nach § 51 Absatz 1 bleibt unberührt. Weitergehende bundes- oder landesrechtliche Vorschriften bleiben unberührt. Soweit Staatsstraßen betroffen sind, handeln die Landkreise und Kreisfreien Städte gemäß § 48 für den Straßenbaulastträger.</w:t>
      </w:r>
    </w:p>
    <w:p>
      <w:r>
        <w:t xml:space="preserve">(2) Wer eine Straße, einzelne Bestandteile davon oder Straßenbeleuchtungsanlagen auch außerhalb der gemeingebräuchlichen Nutzung beschädigt oder zerstört, kann zur Übernahme der entstehenden Kosten verpflichtet werden. Polizeirechtliche Maßnahmen bleiben davon unberührt.</w:t>
      </w:r>
    </w:p>
    <w:p>
      <w:r>
        <w:t xml:space="preserve">(3) Absatz 2 gilt auch für Bundesstraßen. Die Kosten nach Absatz 1 Satz 1 und Absatz 2 Satz 1 können durch schriftlichen Verwaltungsakt festgesetzt werden. Mehrere Kostenersatzpflichtige haften als Gesamtschuldner.</w:t>
      </w:r>
    </w:p>
    <w:p>
      <w:r>
        <w:rPr>
          <w:color w:val="555555"/>
          <w:sz w:val="17"/>
        </w:rPr>
        <w:t xml:space="preserve">Zitiervorschlag: § 17 SächsStrG (Sachsen)</w:t>
      </w:r>
    </w:p>
    <w:p>
      <w:r>
        <w:rPr>
          <w:color w:val="555555"/>
          <w:sz w:val="17"/>
        </w:rPr>
        <w:t xml:space="preserve">Quelle: revosax, abgerufen 02.09.2026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https://recht.nulegal.eu/gesetze/S%C3%A4chsStrG/17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