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SächsStrG (Sachsen) — Vergütung von Mehrkosten</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Wenn eine Straße wegen der Art des Gemeingebrauchs durch einen anderen aufwendiger hergestellt oder ausgebaut werden muss, als es dem regelmäßigen Verkehrsbedürfnis entspricht, hat der andere dem Träger der Straßenbaulast die Mehrkosten für den Bau und die Unterhaltung zu vergüten. Das gilt nicht für Haltestellenbuchten für den Linienverkehr. Der Träger der Straßenbaulast kann angemessene Vorschüsse oder Sicherheiten verlangen.</w:t>
      </w:r>
    </w:p>
    <w:p>
      <w:r>
        <w:t xml:space="preserve">(2) Absatz 1 gilt entsprechend, wenn eine Straße aus anderen Gründen auf Veranlassung eines anderen aufwendiger hergestellt oder ausgebaut wird oder wenn Anlagen errichtet oder umgestaltet werden müssen, ohne dass der Träger der Straßenbaulast in Erfüllung seiner Aufgaben dazu verpflichtet ist.</w:t>
      </w:r>
    </w:p>
    <w:p>
      <w:r>
        <w:rPr>
          <w:color w:val="555555"/>
          <w:sz w:val="17"/>
        </w:rPr>
        <w:t xml:space="preserve">Zitiervorschlag: § 16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