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SächsStrG (Sachsen) — Gemeingebrauch, Straßenanliegergebrauch</w:t>
      </w:r>
    </w:p>
    <w:p>
      <w:r>
        <w:rPr>
          <w:color w:val="555555"/>
          <w:sz w:val="18"/>
        </w:rPr>
        <w:t xml:space="preserve">Sächsisches Straßengesetz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Gebrauch der öffentlichen Straße ist jedermann im Rahmen der Widmung und der verkehrsrechtlichen Vorschriften gestattet (Gemeingebrauch). Auf die Aufrechterhaltung des Gemeingebrauchs besteht kein Rechtsanspruch.</w:t>
      </w:r>
    </w:p>
    <w:p>
      <w:r>
        <w:t xml:space="preserve">(2) Der Gemeingebrauch ist unentgeltlich; Ausnahmen bedürfen einer gesetzlichen Regelung.</w:t>
      </w:r>
    </w:p>
    <w:p>
      <w:r>
        <w:t xml:space="preserve">(3) Unbeschadet sonstiger öffentlich-rechtlicher Vorschriften dürfen Eigentümer und Besitzer von Grundstücken, die an einer öffentlichen Straße gelegen sind (Straßenanlieger), die an die Grundstücke angrenzenden Straßenteile über den Gemeingebrauch hinaus benutzen, soweit diese Benutzung zur angemessenen Nutzung des Grundstücks erforderlich ist und den Gemeingebrauch nicht dauernd ausschließt oder erheblich beeinträchtigt und nicht in den Straßenkörper eingreift.</w:t>
      </w:r>
    </w:p>
    <w:p>
      <w:r>
        <w:rPr>
          <w:color w:val="555555"/>
          <w:sz w:val="17"/>
        </w:rPr>
        <w:t xml:space="preserve">Zitiervorschlag: § 14 SächsStrG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https://recht.nulegal.eu/gesetze/S%C3%A4chsStrG/14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