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SächsStrG (Sachsen) — Eigentumserwerb</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Träger der Straßenbaulast soll das Eigentum an den der Straße dienenden Grundstücken erwerben.</w:t>
      </w:r>
    </w:p>
    <w:p>
      <w:r>
        <w:t xml:space="preserve">(2) Stehen die für die Straße in Anspruch genommenen Grundstücke nicht im Eigentum des Trägers der Straßenbaulast, so hat dieser auf Antrag des Eigentümers oder eines sonst zur Nutzung dinglich Berechtigten die für die Straße in Anspruch genommenen Grundstücke oder dingliche Rechte daran zu erwerben. Kommt innerhalb der Frist von vier Jahren nach Antragstellung zwischen dem Eigentümer oder einem sonst zur Nutzung dinglich Berechtigten und dem Träger der Straßenbaulast eine Einigung über den Erwerb der Grundstücke oder der dinglichen Rechte nicht zustande, so kann der Eigentümer oder der sonst zur Nutzung dinglich Berechtigte die Durchführung des Enteignungsverfahrens verlangen. Im Übrigen gelten die allgemeinen Vorschriften über die Enteignung.</w:t>
      </w:r>
    </w:p>
    <w:p>
      <w:r>
        <w:t xml:space="preserve">(3) Absatz 2 gilt nicht, wenn und solange dem Träger der Straßenbaulast eine Dienstbarkeit oder ein sonstiges dingliches Recht eingeräumt ist, das den Bestand der Straße sichert.</w:t>
      </w:r>
    </w:p>
    <w:p>
      <w:r>
        <w:t xml:space="preserve">(4) Bis zum Erwerb der für die Straße in Anspruch genommenen Grundstücke stehen dem Träger der Straßenbaulast die Rechte und Pflichten des Eigentümers der Ausübung nach in dem Umfang zu, wie es die Aufrechterhaltung des Gemeingebrauchs erfordert.</w:t>
      </w:r>
    </w:p>
    <w:p>
      <w:r>
        <w:rPr>
          <w:color w:val="555555"/>
          <w:sz w:val="17"/>
        </w:rPr>
        <w:t xml:space="preserve">Zitiervorschlag: § 13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