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SächsStrG (Sachsen) — Wechsel der Straßenbaulast</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Beim Übergang der Straßenbaulast von einer Gebietskörperschaft auf eine andere gehen das Eigentum des bisherigen Trägers der Straßenbaulast an der Straße sowie alle Rechte und Pflichten, die mit der Straße in Zusammenhang stehen, entschädigungslos auf den neuen Träger der Straßenbaulast über.</w:t>
      </w:r>
    </w:p>
    <w:p>
      <w:r>
        <w:t xml:space="preserve">(2) Absatz 1 gilt nicht für</w:t>
      </w:r>
    </w:p>
    <w:p>
      <w:r>
        <w:t xml:space="preserve">1. das Eigentum an Nebenanlagen (§ 2 Abs. 2 Nr. 4);</w:t>
      </w:r>
    </w:p>
    <w:p>
      <w:r>
        <w:t xml:space="preserve">2. das Eigentum an Leitungen, die der bisherige Träger der Straßenbaulast für Zwecke der öffentlichen Versorgung in die Straße verlegt hat;</w:t>
      </w:r>
    </w:p>
    <w:p>
      <w:r>
        <w:t xml:space="preserve">3. Rechte und Pflichten des bisherigen Trägers der Straßenbaulast aus Gebietsversorgungsverträgen;</w:t>
      </w:r>
    </w:p>
    <w:p>
      <w:r>
        <w:t xml:space="preserve">4. Verbindlichkeiten des bisherigen Trägers der Straßenbaulast aus der Durchführung früherer Bau- und Unterhaltungsmaßnahmen. Soweit diese Verbindlichkeiten dinglich gesichert sind, hat der neue Eigentümer einen Befreiungsanspruch.</w:t>
      </w:r>
    </w:p>
    <w:p>
      <w:r>
        <w:t xml:space="preserve">(3) Hat der bisherige Eigentümer berechtigterweise besondere Anlagen in der Straße gehalten, so ist der neue Eigentümer verpflichtet, diese in dem bisherigen Umfang zu dulden. § 16 und § 18 Abs. 4 gelten entsprechend.</w:t>
      </w:r>
    </w:p>
    <w:p>
      <w:r>
        <w:t xml:space="preserve">(4) Der bisherige Träger der Straßenbaulast hat dem neuen Träger der Straßenbaulast dafür einzustehen, dass er die Straße in dem durch die Verkehrsbedeutung gebotenen Umfang ordnungsgemäß unterhalten und den notwendigen Grunderwerb durchgeführt hat. Ist eine abzustufende Straße nicht ordnungsgemäß ausgebaut, so hat er dafür nur insoweit einzustehen, als der Ausbauzustand hinter den Anforderungen der künftigen Straßenklasse zurückbleibt. Hat der neue Träger einen Anspruch gegen den bisherigen Träger der Straßenbaulast, so kann dieser Anspruch ganz oder teilweise durch Abschluss einer Ablösevereinbarung abgegolten werden. Die Ablösevereinbarung bedarf der Schriftform. Der neue Träger hat den einmaligen Ablösebetrag für den Bau, die Unterhaltung, die Erhaltung und den Grunderwerb der öffentlichen Straßen zu verwenden, deren Straßenbaulast er trägt.</w:t>
      </w:r>
    </w:p>
    <w:p>
      <w:r>
        <w:t xml:space="preserve">(5) Bei Einziehung einer Straße kann der frühere Träger der Straßenbaulast innerhalb eines Jahres verlangen, dass ihm das Eigentum an Straßengrundstücken mit den in Absatz 1 genannten Rechten und Pflichten unentgeltlich übertragen wird, wenn es vorher nach Absatz 1 übergegangen war. Absatz 3 gilt entsprechend.</w:t>
      </w:r>
    </w:p>
    <w:p>
      <w:r>
        <w:rPr>
          <w:color w:val="555555"/>
          <w:sz w:val="17"/>
        </w:rPr>
        <w:t xml:space="preserve">Zitiervorschlag: § 11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