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SächsStrG (Sachsen) — Geltungsbereich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Dieses Gesetz regelt die Rechtsverhältnisse der öffentlichen Straßen. Für die Bundesstraßen gilt es nur, soweit es diese Straßen ausdrücklich erwähnt.</w:t>
      </w:r>
    </w:p>
    <w:p>
      <w:r>
        <w:rPr>
          <w:color w:val="555555"/>
          <w:sz w:val="17"/>
        </w:rPr>
        <w:t xml:space="preserve">Zitiervorschlag: § 1 SächsStrG (Sachsen)</w:t>
      </w:r>
    </w:p>
    <w:p>
      <w:r>
        <w:rPr>
          <w:color w:val="555555"/>
          <w:sz w:val="17"/>
        </w:rPr>
        <w:t xml:space="preserve">Quelle: revosax, abgerufen 02.09.2026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