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SächsStogVO (Sachsen)</w:t>
      </w:r>
    </w:p>
    <w:p>
      <w:r>
        <w:rPr>
          <w:color w:val="555555"/>
          <w:sz w:val="18"/>
        </w:rPr>
        <w:t xml:space="preserve">Sächsische Stellenobergrenzenverordnung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September 2014</w:t>
      </w:r>
    </w:p>
    <w:p>
      <w:r>
        <w:rPr>
          <w:color w:val="555555"/>
          <w:sz w:val="17"/>
        </w:rPr>
        <w:t xml:space="preserve">Zitiervorschlag: Eingangsformel SächsStogVO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https://recht.nulegal.eu/gesetze/S%C3%A4chsStogVO/eingangsformel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SächsStogVO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