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SächsStiftG (Sachsen) — Anerkennung</w:t>
      </w:r>
    </w:p>
    <w:p>
      <w:r>
        <w:rPr>
          <w:color w:val="555555"/>
          <w:sz w:val="18"/>
        </w:rPr>
        <w:t xml:space="preserve">Sächsisches Stiftungsgesetz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Anerkennung einer Stiftung ist dem Antragsteller oder der Antragstellerin schriftlich mitzuteilen. Sie darf nicht mit Auflagen oder Bedingungen versehen werden.</w:t>
      </w:r>
    </w:p>
    <w:p>
      <w:r>
        <w:rPr>
          <w:color w:val="555555"/>
          <w:sz w:val="17"/>
        </w:rPr>
        <w:t xml:space="preserve">Zitiervorschlag: § 6 SächsStiftG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https://recht.nulegal.eu/gesetze/S%C3%A4chsStiftG/6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