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SächsStiftG (Sachsen) — Steuerbegünstigte Stiftungen</w:t>
      </w:r>
    </w:p>
    <w:p>
      <w:r>
        <w:rPr>
          <w:color w:val="555555"/>
          <w:sz w:val="18"/>
        </w:rPr>
        <w:t xml:space="preserve">Sächsisches Stiftungsgesetz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Steuerbegünstigte Stiftungen im Sinne dieses Gesetzes sind Stiftungen, die nach den Vorschriften des Dritten Abschnitts des zweiten Teils der Abgabenordnung in der Fassung der Bekanntmachung vom 1. Oktober 2002 (BGBl. I S. 3866; 2003 I S. 61), die zuletzt durch Artikel 4 des Gesetzes vom 20. Dezember 2022 (BGBl. I S. 2730) geändert worden ist, über steuerbegünstigte Zwecke ausschließlich und unmittelbar gemeinnützige, mildtätige oder kirchliche Zwecke verfolgen.</w:t>
      </w:r>
    </w:p>
    <w:p>
      <w:r>
        <w:rPr>
          <w:color w:val="555555"/>
          <w:sz w:val="17"/>
        </w:rPr>
        <w:t xml:space="preserve">Zitiervorschlag: § 5 SächsStiftG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https://recht.nulegal.eu/gesetze/S%C3%A4chsStiftG/5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