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SächsStiftG (Sachsen) — Einschränkung von Grundrechten</w:t>
      </w:r>
    </w:p>
    <w:p>
      <w:r>
        <w:rPr>
          <w:color w:val="555555"/>
          <w:sz w:val="18"/>
        </w:rPr>
        <w:t xml:space="preserve">Sächsisches Stiftungsgesetz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Durch Maßnahmen aufgrund dieses Gesetzes kann das Recht auf Datenschutz (Artikel 33 der Verfassung des Freistaates Sachsen) eingeschränkt werden.</w:t>
      </w:r>
    </w:p>
    <w:p>
      <w:r>
        <w:rPr>
          <w:color w:val="555555"/>
          <w:sz w:val="17"/>
        </w:rPr>
        <w:t xml:space="preserve">Zitiervorschlag: § 15 SächsStiftG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https://recht.nulegal.eu/gesetze/S%C3%A4chsStiftG/15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