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SächsStiftG (Sachsen) — Kosten</w:t>
      </w:r>
    </w:p>
    <w:p>
      <w:r>
        <w:rPr>
          <w:color w:val="555555"/>
          <w:sz w:val="18"/>
        </w:rPr>
        <w:t xml:space="preserve">Sächsisches Stiftungsgesetz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gesetzlichen Verfahren der Anerkennung, der Genehmigung, der behördlichen Zulegung oder Zusammenlegung, der Auflösung oder Aufhebung, der Befreiung von der jährlichen Vorlagepflicht nach § 7 Absatz 3 sowie Bescheinigungen, Abdrucke und Auskünfte aus dem Stiftungsverzeichnis sind für steuerbegünstigte Stiftungen kostenfrei.</w:t>
      </w:r>
    </w:p>
    <w:p>
      <w:r>
        <w:rPr>
          <w:color w:val="555555"/>
          <w:sz w:val="17"/>
        </w:rPr>
        <w:t xml:space="preserve">Zitiervorschlag: § 14 SächsStiftG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https://recht.nulegal.eu/gesetze/S%C3%A4chsStiftG/14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