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SächsStiftG (Sachsen) — Geltungsbereich</w:t>
      </w:r>
    </w:p>
    <w:p>
      <w:r>
        <w:rPr>
          <w:color w:val="555555"/>
          <w:sz w:val="18"/>
        </w:rPr>
        <w:t xml:space="preserve">Sächsisches Stiftungsgesetz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gilt für alle rechtsfähigen Stiftungen des bürgerlichen Rechts und des öffentlichen Rechts, die ihren Sitz im Freistaat Sachsen haben, soweit gesetzlich nichts anderes bestimmt ist.</w:t>
      </w:r>
    </w:p>
    <w:p>
      <w:r>
        <w:rPr>
          <w:color w:val="555555"/>
          <w:sz w:val="17"/>
        </w:rPr>
        <w:t xml:space="preserve">Zitiervorschlag: § 1 SächsStiftG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https://recht.nulegal.eu/gesetze/S%C3%A4chsStiftG/1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