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SächsStiftFinG (Sachsen)</w:t>
      </w:r>
    </w:p>
    <w:p>
      <w:r>
        <w:rPr>
          <w:color w:val="555555"/>
          <w:sz w:val="18"/>
        </w:rPr>
        <w:t xml:space="preserve">Sächsisches Stiftungsfinanzierungsgesetz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12. Juni 2024 das folgende Gesetz beschlossen:</w:t>
      </w:r>
    </w:p>
    <w:p>
      <w:r>
        <w:rPr>
          <w:color w:val="555555"/>
          <w:sz w:val="17"/>
        </w:rPr>
        <w:t xml:space="preserve">Zitiervorschlag: Eingangsformel SächsStiftFinG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https://recht.nulegal.eu/gesetze/S%C3%A4chsStiftFinG/eingangsformel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