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SächsStiftFinG (Sachsen) — Anerkannte geförderte politische Stiftungen</w:t>
      </w:r>
    </w:p>
    <w:p>
      <w:r>
        <w:rPr>
          <w:color w:val="555555"/>
          <w:sz w:val="18"/>
        </w:rPr>
        <w:t xml:space="preserve">Sächsisches Stiftungsfinanzierungsgesetz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politische Stiftungen, die zum Zeitpunkt des Inkrafttretens dieses Gesetzes bereits gefördert werden, gelten gemäß § 1 Absatz 3 Satz 1 als anerkannt:</w:t>
      </w:r>
    </w:p>
    <w:p>
      <w:r>
        <w:t xml:space="preserve">1. die Konrad-Adenauer-Stiftung e. V. von der sie anerkennenden Partei „Christlich Demokratische Union Deutschlands“,</w:t>
      </w:r>
    </w:p>
    <w:p>
      <w:r>
        <w:t xml:space="preserve">2. die Rosa-Luxemburg-Stiftung Gesellschaftsanalyse und politische Bildung e. V. von der sie anerkennenden Partei „DIE LINKE“,</w:t>
      </w:r>
    </w:p>
    <w:p>
      <w:r>
        <w:t xml:space="preserve">3. die Weiterdenken-Heinrich-Böll-Stiftung Sachsen e. V. von der sie anerkennenden Partei „BÜNDNIS 90/DIE GRÜNEN“,</w:t>
      </w:r>
    </w:p>
    <w:p>
      <w:r>
        <w:t xml:space="preserve">4. die Wilhelm-Külz-Stiftung von der sie anerkennenden Partei „Freie Demokratische Partei“,</w:t>
      </w:r>
    </w:p>
    <w:p>
      <w:r>
        <w:t xml:space="preserve">5. die Friedrich-Ebert-Stiftung e. V. und das Herbert-Wehner-Bildungswerk e. V. von der sie anerkennenden Partei „Sozialdemokratische Partei Deutschlands“.</w:t>
      </w:r>
    </w:p>
    <w:p>
      <w:r>
        <w:rPr>
          <w:color w:val="555555"/>
          <w:sz w:val="17"/>
        </w:rPr>
        <w:t xml:space="preserve">Zitiervorschlag: § 9 SächsStiftFinG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https://recht.nulegal.eu/gesetze/S%C3%A4chsStiftFinG/9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