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SächsStiftFinG (Sachsen) — Verarbeitung personenbezogener Daten</w:t>
      </w:r>
    </w:p>
    <w:p>
      <w:r>
        <w:rPr>
          <w:color w:val="555555"/>
          <w:sz w:val="18"/>
        </w:rPr>
        <w:t xml:space="preserve">Sächsisches Stiftungsfinanzierungsgesetz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nach § 7 zuständigen Stellen dürfen personenbezogene Daten verarbeiten, soweit dies für die Wahrnehmung ihrer Aufgaben nach diesem Gesetz erforderlich ist. Von der Verarbeitung erfasst ist insbesondere auch die gegenseitige Übermittlung von personenbezogenen Daten sowie Erkundigungen bei den Verfassungsschutzbehörden des Bundes und der Länder, ob bezüglich geförderter oder antragstellender politischer Stiftungen oder mit diesen im Zusammenhang stehender Personen Tatsachen bekannt sind, welche für Feststellungen nach diesem Gesetz relevant sein können. Für andere Zwecke als zur Durchführung dieses Gesetzes dürfen nach Satz 1 erhobene personenbezogene Daten nicht verarbeitet werden.</w:t>
      </w:r>
    </w:p>
    <w:p>
      <w:r>
        <w:t xml:space="preserve">(2) Abweichend von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ist auch die Verarbeitung besonderer Kategorien personenbezogener Daten durch die in Absatz 1 genannten Stellen zulässig, wenn dies zur Erfüllung ihrer Aufgaben erforderlich ist. In diesem Fall hat die jeweilige Stelle spezifische und angemessene Maßnahmen zur Wahrung der Interessen der betroffenen Person vorzusehen; § 22 Absatz 2 Satz 2 des Bundesdatenschutzgesetzes ist entsprechend anzuwenden.</w:t>
      </w:r>
    </w:p>
    <w:p>
      <w:r>
        <w:rPr>
          <w:color w:val="555555"/>
          <w:sz w:val="17"/>
        </w:rPr>
        <w:t xml:space="preserve">Zitiervorschlag: § 8 SächsStiftFinG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https://recht.nulegal.eu/gesetze/S%C3%A4chsStiftFinG/8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