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SächsStiftFinG (Sachsen) — Transparenz</w:t>
      </w:r>
    </w:p>
    <w:p>
      <w:r>
        <w:rPr>
          <w:color w:val="555555"/>
          <w:sz w:val="18"/>
        </w:rPr>
        <w:t xml:space="preserve">Sächsisches Stiftungsfinanzierungsgesetz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Geförderte politische Stiftungen erstellen für das jeweils vorangegangene Jahr einen Jahresbericht und veröffentlichen diesen auf ihrer Internetseite für die Dauer der Förderung. Im Jahresbericht sind insbesondere anzugeben:</w:t>
      </w:r>
    </w:p>
    <w:p>
      <w:r>
        <w:t xml:space="preserve">1. die Aktivitäten in Sachsen,</w:t>
      </w:r>
    </w:p>
    <w:p>
      <w:r>
        <w:t xml:space="preserve">2. die Namen der Mitglieder der satzungsmäßigen Gremien sowie</w:t>
      </w:r>
    </w:p>
    <w:p>
      <w:r>
        <w:t xml:space="preserve">3. Spenden, die im Einzelfall oder kumulativ im Laufe eines Jahres den Betrag von 10 000 Euro übersteigen, mit dem Namen des Spenders.</w:t>
      </w:r>
    </w:p>
    <w:p>
      <w:r>
        <w:t xml:space="preserve">(2) Sie lassen ihre Wirtschaftsführung von einer unabhängigen Wirtschaftsprüfungsgesellschaft prüfen.</w:t>
      </w:r>
    </w:p>
    <w:p>
      <w:r>
        <w:t xml:space="preserve">(3) Der Jahresbericht und das Ergebnis der Wirtschaftsprüfung sind der bewilligenden Stelle bis zu dem im Förderbescheid benannten Termin vorzulegen.</w:t>
      </w:r>
    </w:p>
    <w:p>
      <w:r>
        <w:t xml:space="preserve">(4) Im Förderbescheid kann festgelegt werden, dass die Förderung für jeden Monat der verspäteten Vorlage um bis zu einem Zwölftel der bewilligten Summe gekürzt wird.</w:t>
      </w:r>
    </w:p>
    <w:p>
      <w:r>
        <w:rPr>
          <w:color w:val="555555"/>
          <w:sz w:val="17"/>
        </w:rPr>
        <w:t xml:space="preserve">Zitiervorschlag: § 6 SächsStiftFinG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https://recht.nulegal.eu/gesetze/S%C3%A4chsStiftFinG/6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