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SächsStiftFinG (Sachsen) — Ende der Förderung</w:t>
      </w:r>
    </w:p>
    <w:p>
      <w:r>
        <w:rPr>
          <w:color w:val="555555"/>
          <w:sz w:val="18"/>
        </w:rPr>
        <w:t xml:space="preserve">Sächsisches Stiftungsfinanzierungsgesetz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Förderung einer politischen Stiftung ist spätestens mit Ablauf des Doppelhaushaltes zu beenden, wenn nach Beginn der Förderung</w:t>
      </w:r>
    </w:p>
    <w:p>
      <w:r>
        <w:t xml:space="preserve">1. die Anerkennung nach § 1 Absatz 3 Satz 1 entfallen oder die Voraussetzung des § 2 Absatz 2 nicht mehr gegeben ist,</w:t>
      </w:r>
    </w:p>
    <w:p>
      <w:r>
        <w:t xml:space="preserve">2. die Voraussetzungen des § 2 Absatz 4 oder 5 entfallen sind,</w:t>
      </w:r>
    </w:p>
    <w:p>
      <w:r>
        <w:t xml:space="preserve">3. die Voraussetzung des § 2 Absatz 3 entfallen ist,</w:t>
      </w:r>
    </w:p>
    <w:p>
      <w:r>
        <w:t xml:space="preserve">4. gegen die politische Stiftung ein vollziehbares Vereinsverbot nach § 3 des Vereinsgesetzes erlassen worden ist oder</w:t>
      </w:r>
    </w:p>
    <w:p>
      <w:r>
        <w:t xml:space="preserve">5. die politische Stiftung nach § 87a Absatz 2 Nummer 2 des Bürgerlichen Gesetzbuchs wegen Gefährdung des Gemeinwohls aufgehoben worden ist.</w:t>
      </w:r>
    </w:p>
    <w:p>
      <w:r>
        <w:t xml:space="preserve">(2) Endet die Förderung einer politischen Stiftung, weil ein Beendigungsgrund nach Absatz 1 Nummer 2 festgestellt wurde, ist für die betroffene politische Stiftung eine erneute Förderung für die Dauer der laufenden Wahlperiode ausgeschlossen.</w:t>
      </w:r>
    </w:p>
    <w:p>
      <w:r>
        <w:rPr>
          <w:color w:val="555555"/>
          <w:sz w:val="17"/>
        </w:rPr>
        <w:t xml:space="preserve">Zitiervorschlag: § 4 SächsStiftFinG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https://recht.nulegal.eu/gesetze/S%C3%A4chsStiftFinG/4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