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SächsStiftFinG (Sachsen) — Inkrafttreten</w:t>
      </w:r>
    </w:p>
    <w:p>
      <w:r>
        <w:rPr>
          <w:color w:val="555555"/>
          <w:sz w:val="18"/>
        </w:rPr>
        <w:t xml:space="preserve">Sächsisches Stiftungsfinanzierungsgesetz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Wirkung vom 1. Januar 2024 in Kraft.</w:t>
      </w:r>
    </w:p>
    <w:p>
      <w:r>
        <w:t xml:space="preserve">Dresden, den 12. Juni 2024</w:t>
      </w:r>
    </w:p>
    <w:p>
      <w:r>
        <w:t xml:space="preserve">Der Landtagspräsident</w:t>
      </w:r>
    </w:p>
    <w:p>
      <w:r>
        <w:t xml:space="preserve">Dr. Matthias Rößler</w:t>
      </w:r>
    </w:p>
    <w:p>
      <w:r>
        <w:t xml:space="preserve">Der Ministerpräsident</w:t>
      </w:r>
    </w:p>
    <w:p>
      <w:r>
        <w:t xml:space="preserve">Michael Kretschmer</w:t>
      </w:r>
    </w:p>
    <w:p>
      <w:r>
        <w:t xml:space="preserve">Der Staatsminister des Innern</w:t>
      </w:r>
    </w:p>
    <w:p>
      <w:r>
        <w:t xml:space="preserve">Armin Schuster</w:t>
      </w:r>
    </w:p>
    <w:p>
      <w:r>
        <w:rPr>
          <w:color w:val="555555"/>
          <w:sz w:val="17"/>
        </w:rPr>
        <w:t xml:space="preserve">Zitiervorschlag: § 11 SächsStiftFinG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https://recht.nulegal.eu/gesetze/S%C3%A4chsStiftFinG/11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