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SächsStiftFinG (Sachsen) — Übergangsregelung</w:t>
      </w:r>
    </w:p>
    <w:p>
      <w:r>
        <w:rPr>
          <w:color w:val="555555"/>
          <w:sz w:val="18"/>
        </w:rPr>
        <w:t xml:space="preserve">Sächsisches Stiftungsfinanzierungsgesetz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Nach § 9 als anerkannt geltende und bereits geförderte Stiftungen werden, soweit die Voraussetzungen der Förderung nach § 2 Absatz 2 entfallen sind, bis längstens zum 31. Dezember 2024 gefördert.</w:t>
      </w:r>
    </w:p>
    <w:p>
      <w:r>
        <w:rPr>
          <w:color w:val="555555"/>
          <w:sz w:val="17"/>
        </w:rPr>
        <w:t xml:space="preserve">Zitiervorschlag: § 10 SächsStiftFinG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https://recht.nulegal.eu/gesetze/S%C3%A4chsStiftFinG/10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