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Eingangsformel SächsStatG (Sachsen)</w:t>
      </w:r>
    </w:p>
    <w:p>
      <w:r>
        <w:rPr>
          <w:color w:val="555555"/>
          <w:sz w:val="18"/>
        </w:rPr>
        <w:t xml:space="preserve">Sächsisches Statistikgesetz</w:t>
      </w:r>
    </w:p>
    <w:p>
      <w:r>
        <w:rPr>
          <w:color w:val="555555"/>
          <w:sz w:val="18"/>
        </w:rPr>
        <w:t xml:space="preserve">Landesrecht Sachsen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Der Sächsische Landtag hat am 22. April 1993 das folgende Gesetz beschlossen:</w:t>
      </w:r>
    </w:p>
    <w:p>
      <w:r>
        <w:rPr>
          <w:color w:val="555555"/>
          <w:sz w:val="17"/>
        </w:rPr>
        <w:t xml:space="preserve">Zitiervorschlag: Eingangsformel SächsStatG (Sachsen)</w:t>
      </w:r>
    </w:p>
    <w:p>
      <w:r>
        <w:rPr>
          <w:color w:val="555555"/>
          <w:sz w:val="17"/>
        </w:rPr>
        <w:t xml:space="preserve">Quelle: revosax, abgerufen 26.08.2026</w:t>
      </w:r>
    </w:p>
    <w:p>
      <w:r>
        <w:rPr>
          <w:color w:val="555555"/>
          <w:sz w:val="17"/>
        </w:rPr>
        <w:t xml:space="preserve">Nicht-amtliche Lesefassung — verbindlich ist das Sächsische Gesetz- und Verordnungsblatt (Sächsische Staatskanzlei: https://www.sk.sachsen.de)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https://recht.nulegal.eu/gesetze/S%C3%A4chsStatG/eingangsformel</w:t>
      </w:r>
    </w:p>
    <w:p>
      <w:r>
        <w:rPr>
          <w:color w:val="767676"/>
          <w:sz w:val="15"/>
        </w:rPr>
        <w:t xml:space="preserve">nu:legal · recht.nulegal.eu · Nicht-amtliche Lesefassung. Amtliche Fassung: sk.sachsen.de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