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SächsStatG (Sachsen) — Bußgeldvorschrift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 bei Landesstatistiken entgegen § 17 Abs. 1, 2 oder 3 eine Auskunft nicht, nicht richtig, nicht vollständig, nicht rechtzeitig oder nicht in der vorgegebenen Form erteilt.</w:t>
      </w:r>
    </w:p>
    <w:p>
      <w:r>
        <w:t xml:space="preserve">(2) Ordnungswidrig handelt auch, wer vorsätzlich oder fahrlässig einer Auskunftspflicht zuwiderhandelt, die in einer nach § 8 Abs. 1 Satz 2 erlassenen Satzung festgelegt ist, soweit die Satzung für einen bestimmten Tatbestand auf diese Bußgeldvorschrift verweist.</w:t>
      </w:r>
    </w:p>
    <w:p>
      <w:r>
        <w:t xml:space="preserve">(3) Die Ordnungswidrigkeit kann mit einer Geldbuße bis zu 5 000 EUR geahndet werden.</w:t>
      </w:r>
    </w:p>
    <w:p>
      <w:r>
        <w:t xml:space="preserve">(4) Verwaltungsbehörde im Sinne von § 36 Abs. 1 Nr. 1 des Gesetzes über Ordnungswidrigkeiten ist</w:t>
      </w:r>
    </w:p>
    <w:p>
      <w:r>
        <w:t xml:space="preserve">1. bei EG-, Bundes- oder Landesstatistiken das Statistische Landesamt,</w:t>
      </w:r>
    </w:p>
    <w:p>
      <w:r>
        <w:t xml:space="preserve">2. bei Kommunalstatistiken die Gemeinde oder die sonstige kommunale Körperschaft, die die Statistik angeordnet hat, soweit durch Rechtsvorschrift nichts anderes bestimmt wird.</w:t>
      </w:r>
    </w:p>
    <w:p>
      <w:r>
        <w:rPr>
          <w:color w:val="555555"/>
          <w:sz w:val="17"/>
        </w:rPr>
        <w:t xml:space="preserve">Zitiervorschlag: § 22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