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SächsStatG (Sachsen) — Geheimhaltung</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Einzelangaben über persönliche und sachliche Verhältnisse, die für eine Landes- oder Kommunalstatistik gemacht werden und die dem Befragten oder Betroffenen zugeordnet werden können, sind von den mit der Durchführung der Statistiken betrauten Personen geheimzuhalten, soweit in diesem Gesetz oder in einer eine Landesstatistik anordnenden Rechtsvorschrift nichts anderes bestimmt ist. Die Geheimhaltungspflicht gilt nicht für</w:t>
      </w:r>
    </w:p>
    <w:p>
      <w:r>
        <w:t xml:space="preserve">1. Einzelangaben, in deren Übermittlung oder Veröffentlichung der Befragte oder Betroffene schriftlich eingewilligt hat,</w:t>
      </w:r>
    </w:p>
    <w:p>
      <w:r>
        <w:t xml:space="preserve">2. Einzelangaben, die aus allgemein zugänglichen Quellen entnommen werden können, auch soweit sie auf Grund einer Auskunftspflicht erlangt wurden,</w:t>
      </w:r>
    </w:p>
    <w:p>
      <w:r>
        <w:t xml:space="preserve">3. Einzelangaben, die ausschließlich einer öffentlichen Stelle zugeordnet werden können, die nicht am wirtschaftlichen Wettbewerb teilnimmt.</w:t>
      </w:r>
    </w:p>
    <w:p>
      <w:r>
        <w:t xml:space="preserve">(2) Die Geheimhaltungspflicht nach Absatz 1 besteht auch für die Personen, die Empfänger von Einzelangaben sind.</w:t>
      </w:r>
    </w:p>
    <w:p>
      <w:r>
        <w:rPr>
          <w:color w:val="555555"/>
          <w:sz w:val="17"/>
        </w:rPr>
        <w:t xml:space="preserve">Zitiervorschlag: § 18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