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SächsStatG (Sachsen) — Erhebungsvordrucke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Sind Erhebungsvordrucke durch den zu Befragenden auszufüllen, so werden die Antworten auf den Erhebungsvordrucken in der vorgegebenen Form erteilt.</w:t>
      </w:r>
    </w:p>
    <w:p>
      <w:r>
        <w:t xml:space="preserve">(2) Die Richtigkeit der Angaben wird durch Unterschrift bestätigt, soweit es in den Erhebungsvordrucken vorgesehen ist.</w:t>
      </w:r>
    </w:p>
    <w:p>
      <w:r>
        <w:t xml:space="preserve">(3) Die Erhebungsvordrucke können maschinenlesbar gestaltet werden. Sie dürfen keine Fragen über persönliche und sachliche Verhältnisse enthalten, die über die Erhebungs- und Hilfsmerkmale hinausgehen.</w:t>
      </w:r>
    </w:p>
    <w:p>
      <w:r>
        <w:t xml:space="preserve">(4) Die Rechtsgrundlage der jeweiligen Landesstatistik und die bei ihrer Durchführung verwendeten Hilfsmerkmale werden auf den Erhebungsvordrucken angegeben. Bei Statistiken ohne Auskunftspflicht ist auf die Freiwilligkeit der Angaben hinzuweisen.</w:t>
      </w:r>
    </w:p>
    <w:p>
      <w:r>
        <w:rPr>
          <w:color w:val="555555"/>
          <w:sz w:val="17"/>
        </w:rPr>
        <w:t xml:space="preserve">Zitiervorschlag: § 13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