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SächsStBVG (Sachsen) — Leistungen</w:t>
      </w:r>
    </w:p>
    <w:p>
      <w:r>
        <w:rPr>
          <w:color w:val="555555"/>
          <w:sz w:val="18"/>
        </w:rPr>
        <w:t xml:space="preserve">Sächsisches Steuerberaterversorgungsgesetz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Leistungen des Versorgungswerkes sind:</w:t>
      </w:r>
    </w:p>
    <w:p>
      <w:r>
        <w:t xml:space="preserve">1. Altersrente,</w:t>
      </w:r>
    </w:p>
    <w:p>
      <w:r>
        <w:t xml:space="preserve">2. Berufsunfähigkeitsrente,</w:t>
      </w:r>
    </w:p>
    <w:p>
      <w:r>
        <w:t xml:space="preserve">3. Hinterbliebenenrente,</w:t>
      </w:r>
    </w:p>
    <w:p>
      <w:r>
        <w:t xml:space="preserve">4. Sterbegeld.</w:t>
      </w:r>
    </w:p>
    <w:p>
      <w:r>
        <w:t xml:space="preserve">Die Leistungsansprüche entstehen, sobald der Tatbestand verwirklicht ist, an den die Satzung die Gewährung der Leistungen knüpft. Die Leistungen werden nach Maßgabe dieses Gesetzes und der Satzung auf Antrag gewährt.</w:t>
      </w:r>
    </w:p>
    <w:p>
      <w:r>
        <w:t xml:space="preserve">(2) Die Satzung kann Zuschüsse für Maßnahmen zur Wiederherstellung der Berufsfähigkeit vorsehen.</w:t>
      </w:r>
    </w:p>
    <w:p>
      <w:r>
        <w:t xml:space="preserve">(3) Änderungen der Satzung, die die Höhe der Leistungen betreffen, gelten auch für die vor der Änderung der Satzung eingetretenen Leistungsfälle.</w:t>
      </w:r>
    </w:p>
    <w:p>
      <w:r>
        <w:t xml:space="preserve">(4) Für die Rückforderung von Leistungen durch das Versorgungswerk gilt § 8 Abs. 5, 6, 8 und 9 entsprechend.</w:t>
      </w:r>
    </w:p>
    <w:p>
      <w:r>
        <w:rPr>
          <w:color w:val="555555"/>
          <w:sz w:val="17"/>
        </w:rPr>
        <w:t xml:space="preserve">Zitiervorschlag: § 9 SächsStBVG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https://recht.nulegal.eu/gesetze/S%C3%A4chsStBVG/9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