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SächsStBVG (Sachsen) — Pflichtmitgliedschaft</w:t>
      </w:r>
    </w:p>
    <w:p>
      <w:r>
        <w:rPr>
          <w:color w:val="555555"/>
          <w:sz w:val="18"/>
        </w:rPr>
        <w:t xml:space="preserve">Sächsisches Steuerberaterversorgungsgesetz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Pflichtmitglieder des Versorgungswerkes sind natürliche Personen, die zum Zeitpunkt des In-Kraft-Tretens dieses Gesetzes Mitglied der Steuerberaterkammer des Freistaates Sachsen sind und das 45. Lebensjahr noch nicht vollendet haben.</w:t>
      </w:r>
    </w:p>
    <w:p>
      <w:r>
        <w:t xml:space="preserve">(2) Pflichtmitglieder des Versorgungswerkes werden natürliche Personen, die nach In-Kraft-Treten dieses Gesetzes Mitglied der Steuerberaterkammer des Freistaates Sachsen werden. Dies gilt nicht für Personen, die vom Versorgungswerk oder von einer anderen berufsständischen öffentlich-rechtlichen Versicherungs- oder Versorgungseinrichtung auf eigenen Antrag von der Pflichtmitgliedschaft befreit wurden.</w:t>
      </w:r>
    </w:p>
    <w:p>
      <w:r>
        <w:t xml:space="preserve">(3) Personen, die bei In-Kraft-Treten dieses Gesetzes bereits Pflichtmitglied des Versorgungswerkes der Wirtschaftsprüfer und der vereidigten Buchprüfer im Lande Nordrhein-Westfalen sind, werden nicht Pflichtmitglied des Versorgungswerkes.</w:t>
      </w:r>
    </w:p>
    <w:p>
      <w:r>
        <w:t xml:space="preserve">(4) Personen, die bei In-Kraft-Treten dieses Gesetzes bereits Mitglied der Steuerberaterkammer des Freistaates Sachsen sowie Pflichtmitglied in der gesetzlichen Rentenversicherung sind und einen Befreiungsantrag nach § 6 Abs. 1 Satz 1 Nr. 1 des Sozialgesetzbuches (SGB) Sechstes Buch (VI) – Gesetzliche Rentenversicherung – vom 18. Dezember 1989 (BGBl. I S. 2261, 1990 I S. 1337), zuletzt geändert durch Artikel 4 des Gesetzes vom 24. März 1999 (BGBl. I S. 388, 390), oder entsprechenden Bestimmungen nicht gestellt haben, werden auf Antrag von der Pflichtmitgliedschaft im Versorgungswerk befreit. Der Antrag ist innerhalb einer Ausschlussfrist von sechs Monaten nach In-Kraft-Treten der Satzung zu stellen. Die Befreiung von der Pflichtmitgliedschaft wirkt ab In-Kraft-Treten dieses Gesetzes.</w:t>
      </w:r>
    </w:p>
    <w:p>
      <w:r>
        <w:t xml:space="preserve">(5) Die Satzung kann weitere Ausnahmen und Befreiungen von der Pflichtmitgliedschaft vorsehen</w:t>
      </w:r>
    </w:p>
    <w:p>
      <w:r>
        <w:t xml:space="preserve">1. bei Bestehen einer Berufsunfähigkeit,</w:t>
      </w:r>
    </w:p>
    <w:p>
      <w:r>
        <w:t xml:space="preserve">2. bei Bestehen einer anderen gleichwertigen auf Gesetz beruhenden Versorgung,</w:t>
      </w:r>
    </w:p>
    <w:p>
      <w:r>
        <w:t xml:space="preserve">3. im Falle einer anderweitigen Befreiung von der gesetzlichen Versicherungs- oder Versorgungspflicht.</w:t>
      </w:r>
    </w:p>
    <w:p>
      <w:r>
        <w:rPr>
          <w:color w:val="555555"/>
          <w:sz w:val="17"/>
        </w:rPr>
        <w:t xml:space="preserve">Zitiervorschlag: § 5 SächsStBVG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https://recht.nulegal.eu/gesetze/S%C3%A4chsStBVG/5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