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SächsStBVG (Sachsen) — In-Kraft-Treten</w:t>
      </w:r>
    </w:p>
    <w:p>
      <w:r>
        <w:rPr>
          <w:color w:val="555555"/>
          <w:sz w:val="18"/>
        </w:rPr>
        <w:t xml:space="preserve">Sächsisches Steuerberaterversorgungsgesetz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ersten Tage des auf seine Verkündung folgenden Monats in Kraft.</w:t>
      </w:r>
    </w:p>
    <w:p>
      <w:r>
        <w:t xml:space="preserve">Das vorstehende Gesetz wird hiermit ausgefertigt und ist zu verkünden.</w:t>
      </w:r>
    </w:p>
    <w:p>
      <w:r>
        <w:t xml:space="preserve">Dresden, den 16. Juni 1999</w:t>
      </w:r>
    </w:p>
    <w:p>
      <w:r>
        <w:t xml:space="preserve">Der Landtagspräsident</w:t>
      </w:r>
    </w:p>
    <w:p>
      <w:r>
        <w:t xml:space="preserve">Erich Iltgen</w:t>
      </w:r>
    </w:p>
    <w:p>
      <w:r>
        <w:t xml:space="preserve">Der Ministerpräsident</w:t>
      </w:r>
    </w:p>
    <w:p>
      <w:r>
        <w:t xml:space="preserve">Prof. Dr. Kurt Biedenkopf</w:t>
      </w:r>
    </w:p>
    <w:p>
      <w:r>
        <w:t xml:space="preserve">Der Staatsminister der Finanzen</w:t>
      </w:r>
    </w:p>
    <w:p>
      <w:r>
        <w:t xml:space="preserve">Prof. Dr. Georg Milbradt</w:t>
      </w:r>
    </w:p>
    <w:p>
      <w:r>
        <w:rPr>
          <w:color w:val="555555"/>
          <w:sz w:val="17"/>
        </w:rPr>
        <w:t xml:space="preserve">Zitiervorschlag: § 20 SächsStBVG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https://recht.nulegal.eu/gesetze/S%C3%A4chsStBVG/20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