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SächsStBVG (Sachsen) — Satzung</w:t>
      </w:r>
    </w:p>
    <w:p>
      <w:r>
        <w:rPr>
          <w:color w:val="555555"/>
          <w:sz w:val="18"/>
        </w:rPr>
        <w:t xml:space="preserve">Sächsisches Steuerberaterversorgungsgesetz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regelt seine Angelegenheiten nach Maßgabe dieses Gesetzes durch Satzung. Die Satzung trifft insbesondere Bestimmungen über</w:t>
      </w:r>
    </w:p>
    <w:p>
      <w:r>
        <w:t xml:space="preserve">1. die Beschlussfassung und die Aufgaben der Vertreterversammlung und des Vorstandes,</w:t>
      </w:r>
    </w:p>
    <w:p>
      <w:r>
        <w:t xml:space="preserve">2. die Voraussetzungen und den Umfang der Befreiung von der Pflichtmitgliedschaft und von der Beitragspflicht,</w:t>
      </w:r>
    </w:p>
    <w:p>
      <w:r>
        <w:t xml:space="preserve">3. die Höhe der Beiträge und die Zahlung freiwilliger zusätzlicher Beiträge,</w:t>
      </w:r>
    </w:p>
    <w:p>
      <w:r>
        <w:t xml:space="preserve">4. die Nachversicherung,</w:t>
      </w:r>
    </w:p>
    <w:p>
      <w:r>
        <w:t xml:space="preserve">5. die Erstattung und Überleitung der Beiträge bei Beendigung der Mitgliedschaft,</w:t>
      </w:r>
    </w:p>
    <w:p>
      <w:r>
        <w:t xml:space="preserve">6. die Versorgungsleistungen,</w:t>
      </w:r>
    </w:p>
    <w:p>
      <w:r>
        <w:t xml:space="preserve">7. die Grundsätze der Vermögensanlage,</w:t>
      </w:r>
    </w:p>
    <w:p>
      <w:r>
        <w:t xml:space="preserve">8. das Geschäftsjahr,</w:t>
      </w:r>
    </w:p>
    <w:p>
      <w:r>
        <w:t xml:space="preserve">9. die Überschussverwendung und die Verlustrücklage.</w:t>
      </w:r>
    </w:p>
    <w:p>
      <w:r>
        <w:t xml:space="preserve">(2) Die Satzung und deren Änderung bedürfen der Genehmigung der Rechtsaufsichtsbehörde im Einvernehmen mit der Versicherungsaufsichtsbehörde nach § 2 des Sächsischen Versicherungsaufsichtsgesetzes und sind mit dem Genehmigungsvermerk auszufertigen und im Sächsischen Amtsblatt – Amtlicher Anzeiger bekannt zu machen. Sie treten am Tage nach der Veröffentlichung in Kraft, wenn nicht ein anderer Zeitpunkt bestimmt ist.</w:t>
      </w:r>
    </w:p>
    <w:p>
      <w:r>
        <w:t xml:space="preserve">(3) Satzungsänderungen gelten auch für bestehende Mitgliedschafts- und Versorgungsverhältnisse, soweit nichts anderes bestimmt wird.</w:t>
      </w:r>
    </w:p>
    <w:p>
      <w:r>
        <w:rPr>
          <w:color w:val="555555"/>
          <w:sz w:val="17"/>
        </w:rPr>
        <w:t xml:space="preserve">Zitiervorschlag: § 17 SächsStBVG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https://recht.nulegal.eu/gesetze/S%C3%A4chsStBVG/17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SächsStBVG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