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SächsStBVG (Sachsen) — Vorverfahren</w:t>
      </w:r>
    </w:p>
    <w:p>
      <w:r>
        <w:rPr>
          <w:color w:val="555555"/>
          <w:sz w:val="18"/>
        </w:rPr>
        <w:t xml:space="preserve">Sächsisches Steuerberaterversorgungsgesetz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Vorstand erlässt den Widerspruchsbescheid gemäß § 73 der Verwaltungsgerichtsordnung in der Fassung der Bekanntmachung vom 19. März 1991 (BGBl. I S. 686), die zuletzt durch Artikel 19 des Gesetzes vom 8. Oktober 2023 (BGBl. I Nr. 272) geändert worden ist, in der jeweils geltenden Fassung.</w:t>
      </w:r>
    </w:p>
    <w:p>
      <w:r>
        <w:rPr>
          <w:color w:val="555555"/>
          <w:sz w:val="17"/>
        </w:rPr>
        <w:t xml:space="preserve">Zitiervorschlag: § 14 SächsStBVG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https://recht.nulegal.eu/gesetze/S%C3%A4chsStBVG/14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