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SächsStBVG (Sachsen) — Verwendung der Mittel</w:t>
      </w:r>
    </w:p>
    <w:p>
      <w:r>
        <w:rPr>
          <w:color w:val="555555"/>
          <w:sz w:val="18"/>
        </w:rPr>
        <w:t xml:space="preserve">Sächsisches Steuerberaterversorgungsgesetz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Mittel des Versorgungswerkes dürfen nur zur Bestreitung der satzungsmäßigen Leistungen und der notwendigen Verwaltungskosten sowie zur Bildung der erforderlichen Rückstellungen und Rücklagen verwendet werden.</w:t>
      </w:r>
    </w:p>
    <w:p>
      <w:r>
        <w:rPr>
          <w:color w:val="555555"/>
          <w:sz w:val="17"/>
        </w:rPr>
        <w:t xml:space="preserve">Zitiervorschlag: § 13 SächsStBVG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https://recht.nulegal.eu/gesetze/S%C3%A4chsStBVG/13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