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SächsStBVG (Sachsen) — Gesetzlicher Forderungsübergang</w:t>
      </w:r>
    </w:p>
    <w:p>
      <w:r>
        <w:rPr>
          <w:color w:val="555555"/>
          <w:sz w:val="18"/>
        </w:rPr>
        <w:t xml:space="preserve">Sächsisches Steuerberaterversorgungsgesetz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Ansprüche auf Schadensersatz gegen Dritte gilt § 86 des Versicherungsvertragsgesetzes vom 23. November 2007 (BGBl. I S. 2631), das zuletzt durch Artikel 17 des Gesetzes vom 22. Februar 2023 (BGBl. I Nr. 51) geändert worden ist, in der jeweils geltenden Fassung, entsprechend.</w:t>
      </w:r>
    </w:p>
    <w:p>
      <w:r>
        <w:rPr>
          <w:color w:val="555555"/>
          <w:sz w:val="17"/>
        </w:rPr>
        <w:t xml:space="preserve">Zitiervorschlag: § 12 SächsStBVG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https://recht.nulegal.eu/gesetze/S%C3%A4chsStBVG/12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