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SächsStBVG (Sachsen) — Abtretung, Verpfändung, Aufrechnung</w:t>
      </w:r>
    </w:p>
    <w:p>
      <w:r>
        <w:rPr>
          <w:color w:val="555555"/>
          <w:sz w:val="18"/>
        </w:rPr>
        <w:t xml:space="preserve">Sächsisches Steuerberaterversorgungsgesetz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Leistungsansprüche dürfen weder abgetreten noch verpfändet werden.</w:t>
      </w:r>
    </w:p>
    <w:p>
      <w:r>
        <w:t xml:space="preserve">(2) Das Versorgungswerk kann fällige Beiträge gegen Leistungsansprüche aufrechnen.</w:t>
      </w:r>
    </w:p>
    <w:p>
      <w:r>
        <w:rPr>
          <w:color w:val="555555"/>
          <w:sz w:val="17"/>
        </w:rPr>
        <w:t xml:space="preserve">Zitiervorschlag: § 11 SächsStBVG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https://recht.nulegal.eu/gesetze/S%C3%A4chsStBVG/11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SächsStBVG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