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SächsSpkVO (Sachsen)</w:t>
      </w:r>
    </w:p>
    <w:p>
      <w:r>
        <w:rPr>
          <w:color w:val="555555"/>
          <w:sz w:val="18"/>
        </w:rPr>
        <w:t xml:space="preserve">Sächsische Sparkassenverordnung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5 Absatz 3 und des § 32 Absatz 1 Nummer 1 bis 4 des Gesetzes über die öffentlich-rechtlichen Kreditinstitute im Freistaat Sachsen und die Sachsen-Finanzgruppe vom 13. Dezember 2002 (SächsGVBl. S. 333), von denen § 32 Absatz 1 Nummer 2 durch Artikel 1 Nummer 19 des Gesetzes vom 8. Juni 2012 (SächsGVBl. S. 302) geändert worden ist, verordnet das Staatsministerium der Finanzen:</w:t>
      </w:r>
    </w:p>
    <w:p>
      <w:r>
        <w:rPr>
          <w:color w:val="555555"/>
          <w:sz w:val="17"/>
        </w:rPr>
        <w:t xml:space="preserve">Zitiervorschlag: Eingangsformel SächsSpkVO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https://recht.nulegal.eu/gesetze/S%C3%A4chsSpkVO/eingangsformel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