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SächsSpkVO (Sachsen) — Regionalprinzip</w:t>
      </w:r>
    </w:p>
    <w:p>
      <w:r>
        <w:rPr>
          <w:color w:val="555555"/>
          <w:sz w:val="18"/>
        </w:rPr>
        <w:t xml:space="preserve">Sächsische Sparkassenverordnung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Geschäftsgebiet der Sparkasse ist das Gebiet ihres Trägers. Bei Verbundsparkassen gilt als Geschäftsgebiet der Sparkasse das vor der Übertragung der Trägerschaft auf den Sachsen-Finanzverband oder die Sachsen-Finanzgruppe bestehende Geschäftsgebiet.</w:t>
      </w:r>
    </w:p>
    <w:p>
      <w:r>
        <w:t xml:space="preserve">(2) Außerhalb ihres Geschäftsgebiets können Sparkassen insbesondere die folgenden Geschäfte tätigen:</w:t>
      </w:r>
    </w:p>
    <w:p>
      <w:r>
        <w:t xml:space="preserve">1. Geschäfte nach § 8 und</w:t>
      </w:r>
    </w:p>
    <w:p>
      <w:r>
        <w:t xml:space="preserve">2. Kreditvergaben</w:t>
      </w:r>
    </w:p>
    <w:p>
      <w:r>
        <w:t xml:space="preserve">a)</w:t>
      </w:r>
    </w:p>
    <w:p>
      <w:r>
        <w:t xml:space="preserve">an ein Kreditinstitut mit Sitz in einem Staat des Europäischen Wirtschaftsraumes oder einem Vollmitgliedsstaat der Organisation für wirtschaftliche Zusammenarbeit und Entwicklung sowie an ein inländisches Unternehmen, das der Sparkassen-Finanzgruppe angehört,</w:t>
      </w:r>
    </w:p>
    <w:p>
      <w:r>
        <w:t xml:space="preserve">b)</w:t>
      </w:r>
    </w:p>
    <w:p>
      <w:r>
        <w:t xml:space="preserve">an Institute für die Abwicklung von Finanzdienstleistungen im Rahmen des Außenwirtschaftsverkehrs,</w:t>
      </w:r>
    </w:p>
    <w:p>
      <w:r>
        <w:t xml:space="preserve">c)</w:t>
      </w:r>
    </w:p>
    <w:p>
      <w:r>
        <w:t xml:space="preserve">gemeinsam mit einer oder mehreren anderen Sparkassen an Kreditnehmer mit Sitz, Wohnsitz oder gewerblicher Niederlassung im Geschäftsgebiet einer dieser Sparkassen,</w:t>
      </w:r>
    </w:p>
    <w:p>
      <w:r>
        <w:t xml:space="preserve">d)</w:t>
      </w:r>
    </w:p>
    <w:p>
      <w:r>
        <w:t xml:space="preserve">gemeinsam mit einer Landesbank oder einem Spitzeninstitut der Sparkassen-Finanzgruppe,</w:t>
      </w:r>
    </w:p>
    <w:p>
      <w:r>
        <w:t xml:space="preserve">e)</w:t>
      </w:r>
    </w:p>
    <w:p>
      <w:r>
        <w:t xml:space="preserve">bei erkennbarem wirtschaftlichen Zusammenhang mit der Geschäftsverbindung der Sparkasse zu einem Kunden mit Sitz, Wohnsitz oder gewerblicher Niederlassung im Geschäftsgebiet und</w:t>
      </w:r>
    </w:p>
    <w:p>
      <w:r>
        <w:t xml:space="preserve">f)</w:t>
      </w:r>
    </w:p>
    <w:p>
      <w:r>
        <w:t xml:space="preserve">auf ausdrücklichen Wunsch des Kunden</w:t>
      </w:r>
    </w:p>
    <w:p>
      <w:r>
        <w:t xml:space="preserve">aa)</w:t>
      </w:r>
    </w:p>
    <w:p>
      <w:r>
        <w:t xml:space="preserve">im Rahmen einer seit längerem bestehenden Geschäftsverbindung oder</w:t>
      </w:r>
    </w:p>
    <w:p>
      <w:r>
        <w:t xml:space="preserve">bb)</w:t>
      </w:r>
    </w:p>
    <w:p>
      <w:r>
        <w:t xml:space="preserve">mit Zustimmung der zuständigen Sparkasse.</w:t>
      </w:r>
    </w:p>
    <w:p>
      <w:r>
        <w:t xml:space="preserve">(3) In den Fällen von Absatz 2 Nummer 2 Buchstabe c bis f können stattdessen auch Kapitalbeteiligungen zur Finanzierung von nicht emissionsfähigen Unternehmen durch Bereitstellung von externem Kapital in Form von Eigenkapital oder eigenkapitalähnlichen Mitteln eingegangen werden; die Kapitalbeteiligungen haben ohne Teilnahme an der Geschäftsführung und zeitlich begrenzt sowie grundsätzlich als Minderheitsbeteiligung zu erfolgen.</w:t>
      </w:r>
    </w:p>
    <w:p>
      <w:r>
        <w:rPr>
          <w:color w:val="555555"/>
          <w:sz w:val="17"/>
        </w:rPr>
        <w:t xml:space="preserve">Zitiervorschlag: § 3 SächsSpkVO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https://recht.nulegal.eu/gesetze/S%C3%A4chsSpkVO/3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