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SächsSpkVO (Sachsen) — Kreditbegriff, Bemessungsgrundlage</w:t>
      </w:r>
    </w:p>
    <w:p>
      <w:r>
        <w:rPr>
          <w:color w:val="555555"/>
          <w:sz w:val="18"/>
        </w:rPr>
        <w:t xml:space="preserve">Sächsische Sparkassenverordnung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Kredite im Sinne dieser Verordnung sind alle Geschäfte, die dem Kreditbegriff des Kreditwesengesetzes unterfallen.</w:t>
      </w:r>
    </w:p>
    <w:p>
      <w:r>
        <w:t xml:space="preserve">(2) Bemessungsgrundlage im Sinne dieser Verordnung sind die aufsichtsrechtlich anrechenbaren Eigenmittel nach den Vorgaben der Verordnung (EU) Nr. 575/2013 des Europäischen Parlaments und des Rates vom 26. Juni 2013 über Aufsichtsanforderungen an Kreditinstitute und Wertpapierfirmen und zur Änderung der Verordnung (EU) Nr. 646/2012 (ABl. L 176 vom 27.6.2013, S. 1, L 208 vom 2.8.2013, S. 68, L 321 vom 30.11.2013, S. 6, L 193 vom 21.7.2015, S. 166, L 20 vom 25.1.2017, S. 3), die zuletzt durch die Verordnung (EU) 2019/876 (ABl. L 150 vom 7.6.2019, S. 1) geändert worden ist.</w:t>
      </w:r>
    </w:p>
    <w:p>
      <w:r>
        <w:rPr>
          <w:color w:val="555555"/>
          <w:sz w:val="17"/>
        </w:rPr>
        <w:t xml:space="preserve">Zitiervorschlag: § 2 SächsSpkVO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https://recht.nulegal.eu/gesetze/S%C3%A4chsSpkVO/2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