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SächsSpielbG (Sachsen)</w:t>
      </w:r>
    </w:p>
    <w:p>
      <w:r>
        <w:rPr>
          <w:color w:val="555555"/>
          <w:sz w:val="18"/>
        </w:rPr>
        <w:t xml:space="preserve">Sächsisches Spielbankengesetz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Juni 2009</w:t>
      </w:r>
    </w:p>
    <w:p>
      <w:r>
        <w:rPr>
          <w:color w:val="555555"/>
          <w:sz w:val="17"/>
        </w:rPr>
        <w:t xml:space="preserve">Zitiervorschlag: Eingangsformel SächsSpielbG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https://recht.nulegal.eu/gesetze/S%C3%A4chsSpielbG/eingangsformel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