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SächsSpielbG (Sachsen) — Online-Casinospielsteuer</w:t>
      </w:r>
    </w:p>
    <w:p>
      <w:r>
        <w:rPr>
          <w:color w:val="555555"/>
          <w:sz w:val="18"/>
        </w:rPr>
        <w:t xml:space="preserve">Sächsisches Spielbankengesetz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Online-Casinospiele im Sinne des § 3 Absatz 1a Satz 2 des Glücksspielstaatsvertrages 2021 unterliegen der Online-Casinospielsteuer, wenn der nach § 6a Absatz 2 des Glücksspielstaatsvertrages 2021 registrierte Wohnsitz der Spielerin oder des Spielers bei Abschluss des Spielvertrags im Geltungsbereich dieses Gesetzes liegt.</w:t>
      </w:r>
    </w:p>
    <w:p>
      <w:r>
        <w:t xml:space="preserve">(2) Die Online-Casinospielsteuer bemisst sich nach dem jährlichen Bruttospielertrag aus der Veranstaltung der Online-Casinospiele; § 12 Absatz 1 Satz 2, Absatz 2, Absatz 3 Nummer 1 und Absatz 6 Satz 1 gilt entsprechend. Sie entsteht mit Ablauf des Kalendermonats, in dem die Online-Casinospiele durchgeführt worden sind. Ein Online-Casinospiel ist durchgeführt, wenn der Gewinn- oder Verlustfall festgestellt wurde. Die Online-Casinospielsteuer ermäßigt sich um die zu entrichtende Umsatzsteuer aus Umsätzen, die durch die Veranstaltung der Online-Casinospiele im Geltungsbereich dieses Gesetzes bedingt sind; § 12 Absatz 8 Satz 2 gilt entsprechend.</w:t>
      </w:r>
    </w:p>
    <w:p>
      <w:r>
        <w:rPr>
          <w:color w:val="555555"/>
          <w:sz w:val="17"/>
        </w:rPr>
        <w:t xml:space="preserve">Zitiervorschlag: § 27 SächsSpielbG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https://recht.nulegal.eu/gesetze/S%C3%A4chsSpielbG/27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SächsSpielbG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